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6749BEC" w14:textId="77777777" w:rsidR="0075369D" w:rsidRDefault="0075369D">
      <w:pPr>
        <w:spacing w:beforeLines="150" w:before="468" w:afterLines="150" w:after="468" w:line="360" w:lineRule="auto"/>
        <w:jc w:val="center"/>
        <w:rPr>
          <w:rFonts w:ascii="黑体" w:eastAsia="黑体" w:hAnsi="黑体" w:cs="Arial" w:hint="eastAsia"/>
          <w:bCs/>
          <w:sz w:val="28"/>
          <w:szCs w:val="28"/>
        </w:rPr>
      </w:pPr>
      <w:bookmarkStart w:id="0" w:name="_Toc337497084"/>
      <w:bookmarkStart w:id="1" w:name="_Toc328656275"/>
    </w:p>
    <w:p w14:paraId="628E67ED" w14:textId="77777777" w:rsidR="0075369D" w:rsidRDefault="0075369D">
      <w:pPr>
        <w:spacing w:beforeLines="150" w:before="468" w:afterLines="150" w:after="468" w:line="360" w:lineRule="auto"/>
        <w:jc w:val="center"/>
        <w:rPr>
          <w:rFonts w:ascii="黑体" w:eastAsia="黑体" w:hAnsi="黑体" w:cs="Arial" w:hint="eastAsia"/>
          <w:bCs/>
          <w:sz w:val="28"/>
          <w:szCs w:val="28"/>
        </w:rPr>
      </w:pPr>
    </w:p>
    <w:p w14:paraId="0C35DBF9" w14:textId="77777777" w:rsidR="0075369D" w:rsidRDefault="0075369D">
      <w:pPr>
        <w:spacing w:beforeLines="150" w:before="468" w:afterLines="150" w:after="468" w:line="360" w:lineRule="auto"/>
        <w:jc w:val="center"/>
        <w:rPr>
          <w:rFonts w:ascii="黑体" w:eastAsia="黑体" w:hAnsi="黑体" w:cs="Arial" w:hint="eastAsia"/>
          <w:bCs/>
          <w:sz w:val="28"/>
          <w:szCs w:val="28"/>
        </w:rPr>
      </w:pPr>
    </w:p>
    <w:p w14:paraId="09449004" w14:textId="77777777" w:rsidR="0075369D" w:rsidRDefault="00000000">
      <w:pPr>
        <w:spacing w:beforeLines="150" w:before="468" w:afterLines="150" w:after="468" w:line="360" w:lineRule="auto"/>
        <w:jc w:val="center"/>
        <w:rPr>
          <w:rFonts w:ascii="黑体" w:eastAsia="黑体" w:cs="Arial"/>
          <w:sz w:val="44"/>
          <w:szCs w:val="44"/>
        </w:rPr>
      </w:pPr>
      <w:r>
        <w:rPr>
          <w:rFonts w:ascii="黑体" w:eastAsia="黑体" w:cs="Arial" w:hint="eastAsia"/>
          <w:sz w:val="44"/>
          <w:szCs w:val="44"/>
        </w:rPr>
        <w:t>中国移动（浙江）创新研究院2026-2028年网络安全高级技术支持服务项目</w:t>
      </w:r>
    </w:p>
    <w:p w14:paraId="2655918B" w14:textId="77777777" w:rsidR="0075369D" w:rsidRDefault="00000000">
      <w:pPr>
        <w:spacing w:beforeLines="150" w:before="468" w:afterLines="150" w:after="468" w:line="360" w:lineRule="auto"/>
        <w:jc w:val="center"/>
        <w:rPr>
          <w:rFonts w:ascii="黑体" w:eastAsia="黑体" w:hAnsi="黑体" w:cs="Arial" w:hint="eastAsia"/>
          <w:bCs/>
          <w:sz w:val="44"/>
          <w:szCs w:val="44"/>
        </w:rPr>
      </w:pPr>
      <w:r>
        <w:rPr>
          <w:rFonts w:ascii="黑体" w:eastAsia="黑体" w:cs="Arial" w:hint="eastAsia"/>
          <w:sz w:val="44"/>
          <w:szCs w:val="44"/>
        </w:rPr>
        <w:t>技术规范书</w:t>
      </w:r>
    </w:p>
    <w:p w14:paraId="3BBD3BCA" w14:textId="77777777" w:rsidR="0075369D" w:rsidRDefault="0075369D">
      <w:pPr>
        <w:spacing w:beforeLines="150" w:before="468" w:afterLines="150" w:after="468" w:line="360" w:lineRule="auto"/>
        <w:jc w:val="center"/>
        <w:rPr>
          <w:rFonts w:ascii="黑体" w:eastAsia="黑体" w:hAnsi="黑体" w:cs="Arial" w:hint="eastAsia"/>
          <w:bCs/>
          <w:sz w:val="28"/>
          <w:szCs w:val="28"/>
        </w:rPr>
      </w:pPr>
    </w:p>
    <w:p w14:paraId="65AB9A5C" w14:textId="77777777" w:rsidR="0075369D" w:rsidRDefault="0075369D">
      <w:pPr>
        <w:spacing w:beforeLines="150" w:before="468" w:afterLines="150" w:after="468" w:line="360" w:lineRule="auto"/>
        <w:jc w:val="center"/>
        <w:rPr>
          <w:rFonts w:ascii="黑体" w:eastAsia="黑体" w:hAnsi="黑体" w:cs="Arial" w:hint="eastAsia"/>
          <w:bCs/>
          <w:sz w:val="28"/>
          <w:szCs w:val="28"/>
        </w:rPr>
      </w:pPr>
    </w:p>
    <w:p w14:paraId="034D9D6F" w14:textId="77777777" w:rsidR="0075369D" w:rsidRDefault="0075369D">
      <w:pPr>
        <w:spacing w:beforeLines="150" w:before="468" w:afterLines="150" w:after="468" w:line="360" w:lineRule="auto"/>
        <w:jc w:val="center"/>
        <w:rPr>
          <w:rFonts w:ascii="黑体" w:eastAsia="黑体" w:hAnsi="黑体" w:cs="Arial" w:hint="eastAsia"/>
          <w:bCs/>
          <w:sz w:val="28"/>
          <w:szCs w:val="28"/>
        </w:rPr>
      </w:pPr>
    </w:p>
    <w:p w14:paraId="539D4EEA" w14:textId="77777777" w:rsidR="0075369D" w:rsidRDefault="0075369D">
      <w:pPr>
        <w:spacing w:beforeLines="150" w:before="468" w:afterLines="150" w:after="468" w:line="360" w:lineRule="auto"/>
        <w:jc w:val="center"/>
        <w:rPr>
          <w:rFonts w:ascii="黑体" w:eastAsia="黑体" w:hAnsi="黑体" w:cs="Arial" w:hint="eastAsia"/>
          <w:bCs/>
          <w:sz w:val="28"/>
          <w:szCs w:val="28"/>
        </w:rPr>
      </w:pPr>
    </w:p>
    <w:p w14:paraId="54E94B90" w14:textId="77777777" w:rsidR="0075369D" w:rsidRDefault="00000000">
      <w:pPr>
        <w:tabs>
          <w:tab w:val="left" w:pos="540"/>
        </w:tabs>
        <w:spacing w:line="360" w:lineRule="auto"/>
        <w:jc w:val="center"/>
        <w:rPr>
          <w:rFonts w:ascii="仿宋" w:eastAsia="仿宋" w:hAnsi="仿宋" w:cs="Arial" w:hint="eastAsia"/>
          <w:bCs/>
          <w:sz w:val="32"/>
          <w:szCs w:val="32"/>
        </w:rPr>
      </w:pPr>
      <w:bookmarkStart w:id="2" w:name="_Hlk130213954"/>
      <w:r>
        <w:rPr>
          <w:rFonts w:ascii="仿宋" w:eastAsia="仿宋" w:hAnsi="仿宋" w:cs="Arial" w:hint="eastAsia"/>
          <w:bCs/>
          <w:sz w:val="32"/>
          <w:szCs w:val="32"/>
        </w:rPr>
        <w:t>中国移动（浙江）创新研究院</w:t>
      </w:r>
      <w:bookmarkEnd w:id="2"/>
      <w:r>
        <w:rPr>
          <w:rFonts w:ascii="仿宋" w:eastAsia="仿宋" w:hAnsi="仿宋" w:cs="Arial" w:hint="eastAsia"/>
          <w:bCs/>
          <w:sz w:val="32"/>
          <w:szCs w:val="32"/>
        </w:rPr>
        <w:t>有限公司</w:t>
      </w:r>
    </w:p>
    <w:p w14:paraId="1504BB04" w14:textId="77777777" w:rsidR="0075369D" w:rsidRDefault="00000000">
      <w:pPr>
        <w:tabs>
          <w:tab w:val="left" w:pos="540"/>
        </w:tabs>
        <w:spacing w:line="360" w:lineRule="auto"/>
        <w:jc w:val="center"/>
        <w:rPr>
          <w:rFonts w:ascii="仿宋" w:eastAsia="仿宋" w:hAnsi="仿宋" w:cs="Arial" w:hint="eastAsia"/>
          <w:bCs/>
          <w:sz w:val="32"/>
          <w:szCs w:val="32"/>
        </w:rPr>
      </w:pPr>
      <w:r>
        <w:rPr>
          <w:rFonts w:ascii="仿宋" w:eastAsia="仿宋" w:hAnsi="仿宋" w:cs="Arial" w:hint="eastAsia"/>
          <w:bCs/>
          <w:sz w:val="32"/>
          <w:szCs w:val="32"/>
        </w:rPr>
        <w:t>20</w:t>
      </w:r>
      <w:r>
        <w:rPr>
          <w:rFonts w:ascii="仿宋" w:eastAsia="仿宋" w:hAnsi="仿宋" w:cs="Arial"/>
          <w:bCs/>
          <w:sz w:val="32"/>
          <w:szCs w:val="32"/>
        </w:rPr>
        <w:t>2</w:t>
      </w:r>
      <w:r>
        <w:rPr>
          <w:rFonts w:ascii="仿宋" w:eastAsia="仿宋" w:hAnsi="仿宋" w:cs="Arial" w:hint="eastAsia"/>
          <w:bCs/>
          <w:sz w:val="32"/>
          <w:szCs w:val="32"/>
        </w:rPr>
        <w:t>6年7月</w:t>
      </w:r>
    </w:p>
    <w:p w14:paraId="71874AE9" w14:textId="77777777" w:rsidR="0075369D" w:rsidRDefault="00000000">
      <w:pPr>
        <w:widowControl/>
        <w:spacing w:line="360" w:lineRule="auto"/>
        <w:jc w:val="center"/>
        <w:rPr>
          <w:rFonts w:ascii="仿宋" w:eastAsia="仿宋" w:hAnsi="仿宋" w:hint="eastAsia"/>
          <w:bCs/>
          <w:kern w:val="44"/>
          <w:sz w:val="28"/>
          <w:szCs w:val="28"/>
        </w:rPr>
      </w:pPr>
      <w:r>
        <w:rPr>
          <w:rFonts w:ascii="仿宋" w:eastAsia="仿宋" w:hAnsi="仿宋"/>
          <w:bCs/>
          <w:kern w:val="44"/>
          <w:sz w:val="28"/>
          <w:szCs w:val="28"/>
        </w:rPr>
        <w:br w:type="page"/>
      </w:r>
    </w:p>
    <w:sdt>
      <w:sdtPr>
        <w:rPr>
          <w:rFonts w:ascii="Times New Roman" w:eastAsia="宋体" w:hAnsi="Times New Roman" w:cs="Times New Roman"/>
          <w:color w:val="auto"/>
          <w:kern w:val="2"/>
          <w:sz w:val="21"/>
          <w:szCs w:val="24"/>
          <w:lang w:val="zh-CN"/>
        </w:rPr>
        <w:id w:val="-1"/>
        <w:docPartObj>
          <w:docPartGallery w:val="Table of Contents"/>
          <w:docPartUnique/>
        </w:docPartObj>
      </w:sdtPr>
      <w:sdtEndPr>
        <w:rPr>
          <w:b/>
          <w:bCs/>
          <w:szCs w:val="21"/>
        </w:rPr>
      </w:sdtEndPr>
      <w:sdtContent>
        <w:p w14:paraId="6E51D144" w14:textId="77777777" w:rsidR="0075369D" w:rsidRDefault="00000000">
          <w:pPr>
            <w:pStyle w:val="TOC10"/>
            <w:spacing w:line="360" w:lineRule="auto"/>
            <w:jc w:val="center"/>
          </w:pPr>
          <w:r>
            <w:rPr>
              <w:lang w:val="zh-CN"/>
            </w:rPr>
            <w:t>目录</w:t>
          </w:r>
        </w:p>
        <w:p w14:paraId="2370BCBE" w14:textId="77777777" w:rsidR="0075369D" w:rsidRDefault="00000000">
          <w:pPr>
            <w:pStyle w:val="TOC1"/>
            <w:tabs>
              <w:tab w:val="right" w:leader="dot" w:pos="8306"/>
            </w:tabs>
          </w:pPr>
          <w:r>
            <w:rPr>
              <w:szCs w:val="21"/>
            </w:rPr>
            <w:fldChar w:fldCharType="begin"/>
          </w:r>
          <w:r>
            <w:rPr>
              <w:szCs w:val="21"/>
            </w:rPr>
            <w:instrText xml:space="preserve"> TOC \o "1-3" \h \z \u </w:instrText>
          </w:r>
          <w:r>
            <w:rPr>
              <w:szCs w:val="21"/>
            </w:rPr>
            <w:fldChar w:fldCharType="separate"/>
          </w:r>
          <w:hyperlink w:anchor="_Toc31905" w:history="1">
            <w:r>
              <w:rPr>
                <w:rFonts w:ascii="宋体" w:hAnsi="宋体" w:cs="宋体"/>
                <w:bCs/>
                <w:kern w:val="44"/>
                <w:szCs w:val="44"/>
              </w:rPr>
              <w:t xml:space="preserve">1 </w:t>
            </w:r>
            <w:r>
              <w:rPr>
                <w:rFonts w:ascii="宋体" w:hAnsi="宋体" w:cs="宋体" w:hint="eastAsia"/>
                <w:bCs/>
                <w:kern w:val="44"/>
                <w:szCs w:val="44"/>
              </w:rPr>
              <w:t>总则</w:t>
            </w:r>
            <w:r>
              <w:tab/>
            </w:r>
            <w:r>
              <w:fldChar w:fldCharType="begin"/>
            </w:r>
            <w:r>
              <w:instrText xml:space="preserve"> PAGEREF _Toc31905 \h </w:instrText>
            </w:r>
            <w:r>
              <w:fldChar w:fldCharType="separate"/>
            </w:r>
            <w:r>
              <w:t>3</w:t>
            </w:r>
            <w:r>
              <w:fldChar w:fldCharType="end"/>
            </w:r>
          </w:hyperlink>
        </w:p>
        <w:p w14:paraId="286AABDE" w14:textId="77777777" w:rsidR="0075369D" w:rsidRDefault="00000000">
          <w:pPr>
            <w:pStyle w:val="TOC2"/>
            <w:tabs>
              <w:tab w:val="clear" w:pos="1080"/>
              <w:tab w:val="clear" w:pos="8302"/>
              <w:tab w:val="right" w:leader="dot" w:pos="8306"/>
            </w:tabs>
            <w:ind w:left="1035"/>
          </w:pPr>
          <w:hyperlink w:anchor="_Toc31375" w:history="1">
            <w:r>
              <w:rPr>
                <w:rFonts w:ascii="宋体" w:hAnsi="宋体" w:cs="宋体"/>
                <w:bCs/>
                <w:szCs w:val="32"/>
              </w:rPr>
              <w:t xml:space="preserve">1.1 </w:t>
            </w:r>
            <w:r>
              <w:rPr>
                <w:rFonts w:ascii="宋体" w:hAnsi="宋体" w:cs="宋体" w:hint="eastAsia"/>
                <w:bCs/>
                <w:szCs w:val="32"/>
              </w:rPr>
              <w:t>概述</w:t>
            </w:r>
            <w:r>
              <w:tab/>
            </w:r>
            <w:r>
              <w:fldChar w:fldCharType="begin"/>
            </w:r>
            <w:r>
              <w:instrText xml:space="preserve"> PAGEREF _Toc31375 \h </w:instrText>
            </w:r>
            <w:r>
              <w:fldChar w:fldCharType="separate"/>
            </w:r>
            <w:r>
              <w:t>3</w:t>
            </w:r>
            <w:r>
              <w:fldChar w:fldCharType="end"/>
            </w:r>
          </w:hyperlink>
        </w:p>
        <w:p w14:paraId="54713C0B" w14:textId="77777777" w:rsidR="0075369D" w:rsidRDefault="00000000">
          <w:pPr>
            <w:pStyle w:val="TOC2"/>
            <w:tabs>
              <w:tab w:val="clear" w:pos="1080"/>
              <w:tab w:val="clear" w:pos="8302"/>
              <w:tab w:val="right" w:leader="dot" w:pos="8306"/>
            </w:tabs>
            <w:ind w:left="1035"/>
          </w:pPr>
          <w:hyperlink w:anchor="_Toc10293" w:history="1">
            <w:r>
              <w:rPr>
                <w:rFonts w:ascii="宋体" w:hAnsi="宋体" w:cs="宋体"/>
                <w:bCs/>
                <w:szCs w:val="32"/>
              </w:rPr>
              <w:t xml:space="preserve">1.2 </w:t>
            </w:r>
            <w:r>
              <w:rPr>
                <w:rFonts w:ascii="宋体" w:hAnsi="宋体" w:cs="宋体" w:hint="eastAsia"/>
                <w:bCs/>
                <w:szCs w:val="32"/>
              </w:rPr>
              <w:t>技术标准</w:t>
            </w:r>
            <w:r>
              <w:tab/>
            </w:r>
            <w:r>
              <w:fldChar w:fldCharType="begin"/>
            </w:r>
            <w:r>
              <w:instrText xml:space="preserve"> PAGEREF _Toc10293 \h </w:instrText>
            </w:r>
            <w:r>
              <w:fldChar w:fldCharType="separate"/>
            </w:r>
            <w:r>
              <w:t>3</w:t>
            </w:r>
            <w:r>
              <w:fldChar w:fldCharType="end"/>
            </w:r>
          </w:hyperlink>
        </w:p>
        <w:p w14:paraId="3740A5A8" w14:textId="77777777" w:rsidR="0075369D" w:rsidRDefault="00000000">
          <w:pPr>
            <w:pStyle w:val="TOC2"/>
            <w:tabs>
              <w:tab w:val="clear" w:pos="1080"/>
              <w:tab w:val="clear" w:pos="8302"/>
              <w:tab w:val="right" w:leader="dot" w:pos="8306"/>
            </w:tabs>
            <w:ind w:left="1035"/>
          </w:pPr>
          <w:hyperlink w:anchor="_Toc10847" w:history="1">
            <w:r>
              <w:rPr>
                <w:rFonts w:ascii="宋体" w:hAnsi="宋体" w:cs="宋体"/>
                <w:bCs/>
                <w:szCs w:val="32"/>
              </w:rPr>
              <w:t xml:space="preserve">1.3 </w:t>
            </w:r>
            <w:r>
              <w:rPr>
                <w:rFonts w:ascii="宋体" w:hAnsi="宋体" w:cs="宋体" w:hint="eastAsia"/>
                <w:bCs/>
                <w:szCs w:val="32"/>
              </w:rPr>
              <w:t>本期标的</w:t>
            </w:r>
            <w:r>
              <w:tab/>
            </w:r>
            <w:r>
              <w:fldChar w:fldCharType="begin"/>
            </w:r>
            <w:r>
              <w:instrText xml:space="preserve"> PAGEREF _Toc10847 \h </w:instrText>
            </w:r>
            <w:r>
              <w:fldChar w:fldCharType="separate"/>
            </w:r>
            <w:r>
              <w:t>4</w:t>
            </w:r>
            <w:r>
              <w:fldChar w:fldCharType="end"/>
            </w:r>
          </w:hyperlink>
        </w:p>
        <w:p w14:paraId="331E406B" w14:textId="77777777" w:rsidR="0075369D" w:rsidRDefault="00000000">
          <w:pPr>
            <w:pStyle w:val="TOC2"/>
            <w:tabs>
              <w:tab w:val="clear" w:pos="1080"/>
              <w:tab w:val="clear" w:pos="8302"/>
              <w:tab w:val="right" w:leader="dot" w:pos="8306"/>
            </w:tabs>
            <w:ind w:left="1035"/>
          </w:pPr>
          <w:hyperlink w:anchor="_Toc15936" w:history="1">
            <w:r>
              <w:rPr>
                <w:rFonts w:ascii="宋体" w:hAnsi="宋体" w:cs="宋体"/>
                <w:bCs/>
                <w:szCs w:val="32"/>
              </w:rPr>
              <w:t xml:space="preserve">1.4 </w:t>
            </w:r>
            <w:r>
              <w:rPr>
                <w:rFonts w:ascii="宋体" w:hAnsi="宋体" w:cs="宋体" w:hint="eastAsia"/>
                <w:bCs/>
                <w:szCs w:val="32"/>
              </w:rPr>
              <w:t>技术建议书要求</w:t>
            </w:r>
            <w:r>
              <w:tab/>
            </w:r>
            <w:r>
              <w:fldChar w:fldCharType="begin"/>
            </w:r>
            <w:r>
              <w:instrText xml:space="preserve"> PAGEREF _Toc15936 \h </w:instrText>
            </w:r>
            <w:r>
              <w:fldChar w:fldCharType="separate"/>
            </w:r>
            <w:r>
              <w:t>4</w:t>
            </w:r>
            <w:r>
              <w:fldChar w:fldCharType="end"/>
            </w:r>
          </w:hyperlink>
        </w:p>
        <w:p w14:paraId="62CB0C7B" w14:textId="77777777" w:rsidR="0075369D" w:rsidRDefault="00000000">
          <w:pPr>
            <w:pStyle w:val="TOC2"/>
            <w:tabs>
              <w:tab w:val="clear" w:pos="1080"/>
              <w:tab w:val="clear" w:pos="8302"/>
              <w:tab w:val="right" w:leader="dot" w:pos="8306"/>
            </w:tabs>
            <w:ind w:left="1035"/>
          </w:pPr>
          <w:hyperlink w:anchor="_Toc16496" w:history="1">
            <w:r>
              <w:rPr>
                <w:rFonts w:ascii="宋体" w:hAnsi="宋体" w:cs="宋体"/>
                <w:bCs/>
                <w:szCs w:val="32"/>
              </w:rPr>
              <w:t xml:space="preserve">1.5 </w:t>
            </w:r>
            <w:r>
              <w:rPr>
                <w:rFonts w:ascii="宋体" w:hAnsi="宋体" w:cs="宋体" w:hint="eastAsia"/>
                <w:bCs/>
                <w:szCs w:val="32"/>
              </w:rPr>
              <w:t>适用范围</w:t>
            </w:r>
            <w:r>
              <w:tab/>
            </w:r>
            <w:r>
              <w:fldChar w:fldCharType="begin"/>
            </w:r>
            <w:r>
              <w:instrText xml:space="preserve"> PAGEREF _Toc16496 \h </w:instrText>
            </w:r>
            <w:r>
              <w:fldChar w:fldCharType="separate"/>
            </w:r>
            <w:r>
              <w:t>4</w:t>
            </w:r>
            <w:r>
              <w:fldChar w:fldCharType="end"/>
            </w:r>
          </w:hyperlink>
        </w:p>
        <w:p w14:paraId="4E0A34F5" w14:textId="77777777" w:rsidR="0075369D" w:rsidRDefault="00000000">
          <w:pPr>
            <w:pStyle w:val="TOC2"/>
            <w:tabs>
              <w:tab w:val="clear" w:pos="1080"/>
              <w:tab w:val="clear" w:pos="8302"/>
              <w:tab w:val="right" w:leader="dot" w:pos="8306"/>
            </w:tabs>
            <w:ind w:left="1035"/>
          </w:pPr>
          <w:hyperlink w:anchor="_Toc6546" w:history="1">
            <w:r>
              <w:rPr>
                <w:rFonts w:ascii="宋体" w:hAnsi="宋体" w:cs="宋体"/>
                <w:bCs/>
                <w:szCs w:val="32"/>
              </w:rPr>
              <w:t xml:space="preserve">1.6 </w:t>
            </w:r>
            <w:r>
              <w:rPr>
                <w:rFonts w:ascii="宋体" w:hAnsi="宋体" w:cs="宋体" w:hint="eastAsia"/>
                <w:bCs/>
                <w:szCs w:val="32"/>
              </w:rPr>
              <w:t>起草单位</w:t>
            </w:r>
            <w:r>
              <w:tab/>
            </w:r>
            <w:r>
              <w:fldChar w:fldCharType="begin"/>
            </w:r>
            <w:r>
              <w:instrText xml:space="preserve"> PAGEREF _Toc6546 \h </w:instrText>
            </w:r>
            <w:r>
              <w:fldChar w:fldCharType="separate"/>
            </w:r>
            <w:r>
              <w:t>5</w:t>
            </w:r>
            <w:r>
              <w:fldChar w:fldCharType="end"/>
            </w:r>
          </w:hyperlink>
        </w:p>
        <w:p w14:paraId="7EA93B19" w14:textId="77777777" w:rsidR="0075369D" w:rsidRDefault="00000000">
          <w:pPr>
            <w:pStyle w:val="TOC2"/>
            <w:tabs>
              <w:tab w:val="clear" w:pos="1080"/>
              <w:tab w:val="clear" w:pos="8302"/>
              <w:tab w:val="right" w:leader="dot" w:pos="8306"/>
            </w:tabs>
            <w:ind w:left="1035"/>
          </w:pPr>
          <w:hyperlink w:anchor="_Toc25478" w:history="1">
            <w:r>
              <w:rPr>
                <w:rFonts w:ascii="宋体" w:hAnsi="宋体" w:cs="宋体"/>
                <w:bCs/>
                <w:szCs w:val="32"/>
              </w:rPr>
              <w:t xml:space="preserve">1.7 </w:t>
            </w:r>
            <w:r>
              <w:rPr>
                <w:rFonts w:ascii="宋体" w:hAnsi="宋体" w:cs="宋体" w:hint="eastAsia"/>
                <w:bCs/>
                <w:szCs w:val="32"/>
              </w:rPr>
              <w:t>解释权</w:t>
            </w:r>
            <w:r>
              <w:tab/>
            </w:r>
            <w:r>
              <w:fldChar w:fldCharType="begin"/>
            </w:r>
            <w:r>
              <w:instrText xml:space="preserve"> PAGEREF _Toc25478 \h </w:instrText>
            </w:r>
            <w:r>
              <w:fldChar w:fldCharType="separate"/>
            </w:r>
            <w:r>
              <w:t>5</w:t>
            </w:r>
            <w:r>
              <w:fldChar w:fldCharType="end"/>
            </w:r>
          </w:hyperlink>
        </w:p>
        <w:p w14:paraId="0B950DF5" w14:textId="77777777" w:rsidR="0075369D" w:rsidRDefault="00000000">
          <w:pPr>
            <w:pStyle w:val="TOC2"/>
            <w:tabs>
              <w:tab w:val="clear" w:pos="1080"/>
              <w:tab w:val="clear" w:pos="8302"/>
              <w:tab w:val="right" w:leader="dot" w:pos="8306"/>
            </w:tabs>
            <w:ind w:left="1035"/>
          </w:pPr>
          <w:hyperlink w:anchor="_Toc26704" w:history="1">
            <w:r>
              <w:rPr>
                <w:rFonts w:ascii="宋体" w:hAnsi="宋体" w:cs="宋体"/>
                <w:bCs/>
                <w:szCs w:val="32"/>
              </w:rPr>
              <w:t xml:space="preserve">1.8 </w:t>
            </w:r>
            <w:r>
              <w:rPr>
                <w:rFonts w:ascii="宋体" w:hAnsi="宋体" w:cs="宋体" w:hint="eastAsia"/>
                <w:bCs/>
                <w:szCs w:val="32"/>
              </w:rPr>
              <w:t>版权</w:t>
            </w:r>
            <w:r>
              <w:tab/>
            </w:r>
            <w:r>
              <w:fldChar w:fldCharType="begin"/>
            </w:r>
            <w:r>
              <w:instrText xml:space="preserve"> PAGEREF _Toc26704 \h </w:instrText>
            </w:r>
            <w:r>
              <w:fldChar w:fldCharType="separate"/>
            </w:r>
            <w:r>
              <w:t>5</w:t>
            </w:r>
            <w:r>
              <w:fldChar w:fldCharType="end"/>
            </w:r>
          </w:hyperlink>
        </w:p>
        <w:p w14:paraId="342602B2" w14:textId="77777777" w:rsidR="0075369D" w:rsidRDefault="00000000">
          <w:pPr>
            <w:pStyle w:val="TOC1"/>
            <w:tabs>
              <w:tab w:val="right" w:leader="dot" w:pos="8306"/>
            </w:tabs>
          </w:pPr>
          <w:hyperlink w:anchor="_Toc18929" w:history="1">
            <w:r>
              <w:rPr>
                <w:rFonts w:ascii="宋体" w:hAnsi="宋体" w:cs="宋体"/>
                <w:bCs/>
                <w:kern w:val="44"/>
                <w:szCs w:val="44"/>
              </w:rPr>
              <w:t xml:space="preserve">2 </w:t>
            </w:r>
            <w:r>
              <w:rPr>
                <w:rFonts w:ascii="宋体" w:hAnsi="宋体" w:cs="宋体" w:hint="eastAsia"/>
                <w:bCs/>
                <w:kern w:val="44"/>
                <w:szCs w:val="44"/>
              </w:rPr>
              <w:t>技术规范</w:t>
            </w:r>
            <w:r>
              <w:tab/>
            </w:r>
            <w:r>
              <w:fldChar w:fldCharType="begin"/>
            </w:r>
            <w:r>
              <w:instrText xml:space="preserve"> PAGEREF _Toc18929 \h </w:instrText>
            </w:r>
            <w:r>
              <w:fldChar w:fldCharType="separate"/>
            </w:r>
            <w:r>
              <w:t>5</w:t>
            </w:r>
            <w:r>
              <w:fldChar w:fldCharType="end"/>
            </w:r>
          </w:hyperlink>
        </w:p>
        <w:p w14:paraId="4C193197" w14:textId="77777777" w:rsidR="0075369D" w:rsidRDefault="00000000">
          <w:pPr>
            <w:pStyle w:val="TOC2"/>
            <w:tabs>
              <w:tab w:val="clear" w:pos="1080"/>
              <w:tab w:val="clear" w:pos="8302"/>
              <w:tab w:val="right" w:leader="dot" w:pos="8306"/>
            </w:tabs>
            <w:ind w:left="1035"/>
          </w:pPr>
          <w:hyperlink w:anchor="_Toc19774" w:history="1">
            <w:r>
              <w:rPr>
                <w:rFonts w:ascii="宋体" w:hAnsi="宋体" w:cs="宋体"/>
                <w:bCs/>
                <w:szCs w:val="32"/>
              </w:rPr>
              <w:t xml:space="preserve">2.1 </w:t>
            </w:r>
            <w:r>
              <w:rPr>
                <w:rFonts w:ascii="宋体" w:hAnsi="宋体" w:cs="宋体" w:hint="eastAsia"/>
                <w:bCs/>
                <w:szCs w:val="32"/>
              </w:rPr>
              <w:t>背景介绍</w:t>
            </w:r>
            <w:r>
              <w:tab/>
            </w:r>
            <w:r>
              <w:fldChar w:fldCharType="begin"/>
            </w:r>
            <w:r>
              <w:instrText xml:space="preserve"> PAGEREF _Toc19774 \h </w:instrText>
            </w:r>
            <w:r>
              <w:fldChar w:fldCharType="separate"/>
            </w:r>
            <w:r>
              <w:t>5</w:t>
            </w:r>
            <w:r>
              <w:fldChar w:fldCharType="end"/>
            </w:r>
          </w:hyperlink>
        </w:p>
        <w:p w14:paraId="5156A750" w14:textId="77777777" w:rsidR="0075369D" w:rsidRDefault="00000000">
          <w:pPr>
            <w:pStyle w:val="TOC2"/>
            <w:tabs>
              <w:tab w:val="clear" w:pos="1080"/>
              <w:tab w:val="clear" w:pos="8302"/>
              <w:tab w:val="right" w:leader="dot" w:pos="8306"/>
            </w:tabs>
            <w:ind w:left="1035"/>
          </w:pPr>
          <w:hyperlink w:anchor="_Toc8761" w:history="1">
            <w:r>
              <w:rPr>
                <w:rFonts w:ascii="宋体" w:hAnsi="宋体" w:cs="宋体"/>
                <w:bCs/>
                <w:szCs w:val="32"/>
              </w:rPr>
              <w:t xml:space="preserve">2.2 </w:t>
            </w:r>
            <w:r>
              <w:rPr>
                <w:rFonts w:ascii="宋体" w:hAnsi="宋体" w:cs="宋体" w:hint="eastAsia"/>
                <w:bCs/>
                <w:szCs w:val="32"/>
              </w:rPr>
              <w:t>服务内容</w:t>
            </w:r>
            <w:r>
              <w:rPr>
                <w:rFonts w:ascii="宋体" w:hAnsi="宋体" w:cs="宋体" w:hint="eastAsia"/>
                <w:bCs/>
                <w:szCs w:val="32"/>
                <w:lang w:eastAsia="zh-Hans"/>
              </w:rPr>
              <w:t>及工作量</w:t>
            </w:r>
            <w:r>
              <w:tab/>
            </w:r>
            <w:r>
              <w:fldChar w:fldCharType="begin"/>
            </w:r>
            <w:r>
              <w:instrText xml:space="preserve"> PAGEREF _Toc8761 \h </w:instrText>
            </w:r>
            <w:r>
              <w:fldChar w:fldCharType="separate"/>
            </w:r>
            <w:r>
              <w:t>6</w:t>
            </w:r>
            <w:r>
              <w:fldChar w:fldCharType="end"/>
            </w:r>
          </w:hyperlink>
        </w:p>
        <w:p w14:paraId="09953E4A" w14:textId="77777777" w:rsidR="0075369D" w:rsidRDefault="00000000">
          <w:pPr>
            <w:pStyle w:val="TOC3"/>
            <w:tabs>
              <w:tab w:val="right" w:leader="dot" w:pos="8306"/>
            </w:tabs>
          </w:pPr>
          <w:hyperlink w:anchor="_Toc16464" w:history="1">
            <w:r>
              <w:rPr>
                <w:rFonts w:ascii="宋体" w:hAnsi="宋体" w:cs="宋体" w:hint="eastAsia"/>
                <w:szCs w:val="22"/>
              </w:rPr>
              <w:t>2.2.1服务内容</w:t>
            </w:r>
            <w:r>
              <w:tab/>
            </w:r>
            <w:r>
              <w:fldChar w:fldCharType="begin"/>
            </w:r>
            <w:r>
              <w:instrText xml:space="preserve"> PAGEREF _Toc16464 \h </w:instrText>
            </w:r>
            <w:r>
              <w:fldChar w:fldCharType="separate"/>
            </w:r>
            <w:r>
              <w:t>6</w:t>
            </w:r>
            <w:r>
              <w:fldChar w:fldCharType="end"/>
            </w:r>
          </w:hyperlink>
        </w:p>
        <w:p w14:paraId="7A3FD987" w14:textId="77777777" w:rsidR="0075369D" w:rsidRDefault="00000000">
          <w:pPr>
            <w:pStyle w:val="TOC3"/>
            <w:tabs>
              <w:tab w:val="right" w:leader="dot" w:pos="8306"/>
            </w:tabs>
          </w:pPr>
          <w:hyperlink w:anchor="_Toc8677" w:history="1">
            <w:r>
              <w:rPr>
                <w:rFonts w:ascii="宋体" w:hAnsi="宋体" w:cs="宋体" w:hint="eastAsia"/>
                <w:szCs w:val="22"/>
              </w:rPr>
              <w:t>2.2.3服务工作量</w:t>
            </w:r>
            <w:r>
              <w:tab/>
            </w:r>
            <w:r>
              <w:fldChar w:fldCharType="begin"/>
            </w:r>
            <w:r>
              <w:instrText xml:space="preserve"> PAGEREF _Toc8677 \h </w:instrText>
            </w:r>
            <w:r>
              <w:fldChar w:fldCharType="separate"/>
            </w:r>
            <w:r>
              <w:t>11</w:t>
            </w:r>
            <w:r>
              <w:fldChar w:fldCharType="end"/>
            </w:r>
          </w:hyperlink>
        </w:p>
        <w:p w14:paraId="2137248E" w14:textId="77777777" w:rsidR="0075369D" w:rsidRDefault="00000000">
          <w:pPr>
            <w:pStyle w:val="TOC2"/>
            <w:tabs>
              <w:tab w:val="clear" w:pos="1080"/>
              <w:tab w:val="clear" w:pos="8302"/>
              <w:tab w:val="right" w:leader="dot" w:pos="8306"/>
            </w:tabs>
            <w:ind w:left="1035"/>
          </w:pPr>
          <w:hyperlink w:anchor="_Toc20684" w:history="1">
            <w:r>
              <w:rPr>
                <w:rFonts w:ascii="宋体" w:hAnsi="宋体" w:cs="宋体"/>
                <w:bCs/>
                <w:szCs w:val="32"/>
              </w:rPr>
              <w:t xml:space="preserve">2.3 </w:t>
            </w:r>
            <w:r>
              <w:rPr>
                <w:rFonts w:ascii="宋体" w:hAnsi="宋体" w:cs="宋体" w:hint="eastAsia"/>
                <w:bCs/>
                <w:szCs w:val="32"/>
              </w:rPr>
              <w:t>服务能力要求</w:t>
            </w:r>
            <w:r>
              <w:tab/>
            </w:r>
            <w:r>
              <w:fldChar w:fldCharType="begin"/>
            </w:r>
            <w:r>
              <w:instrText xml:space="preserve"> PAGEREF _Toc20684 \h </w:instrText>
            </w:r>
            <w:r>
              <w:fldChar w:fldCharType="separate"/>
            </w:r>
            <w:r>
              <w:t>13</w:t>
            </w:r>
            <w:r>
              <w:fldChar w:fldCharType="end"/>
            </w:r>
          </w:hyperlink>
        </w:p>
        <w:p w14:paraId="3F9F74A4" w14:textId="77777777" w:rsidR="0075369D" w:rsidRDefault="00000000">
          <w:pPr>
            <w:pStyle w:val="TOC3"/>
            <w:tabs>
              <w:tab w:val="right" w:leader="dot" w:pos="8306"/>
            </w:tabs>
          </w:pPr>
          <w:hyperlink w:anchor="_Toc29584" w:history="1">
            <w:r>
              <w:rPr>
                <w:rFonts w:ascii="宋体" w:hAnsi="宋体" w:cs="宋体" w:hint="eastAsia"/>
                <w:szCs w:val="22"/>
              </w:rPr>
              <w:t>2</w:t>
            </w:r>
            <w:r>
              <w:rPr>
                <w:rFonts w:ascii="宋体" w:hAnsi="宋体" w:cs="宋体"/>
                <w:szCs w:val="22"/>
              </w:rPr>
              <w:t xml:space="preserve">.3.1 </w:t>
            </w:r>
            <w:r>
              <w:rPr>
                <w:rFonts w:ascii="宋体" w:hAnsi="宋体" w:cs="宋体" w:hint="eastAsia"/>
                <w:szCs w:val="22"/>
              </w:rPr>
              <w:t>服务团队要求</w:t>
            </w:r>
            <w:r>
              <w:tab/>
            </w:r>
            <w:r>
              <w:fldChar w:fldCharType="begin"/>
            </w:r>
            <w:r>
              <w:instrText xml:space="preserve"> PAGEREF _Toc29584 \h </w:instrText>
            </w:r>
            <w:r>
              <w:fldChar w:fldCharType="separate"/>
            </w:r>
            <w:r>
              <w:t>13</w:t>
            </w:r>
            <w:r>
              <w:fldChar w:fldCharType="end"/>
            </w:r>
          </w:hyperlink>
        </w:p>
        <w:p w14:paraId="3E65377D" w14:textId="77777777" w:rsidR="0075369D" w:rsidRDefault="00000000">
          <w:pPr>
            <w:pStyle w:val="TOC3"/>
            <w:tabs>
              <w:tab w:val="right" w:leader="dot" w:pos="8306"/>
            </w:tabs>
          </w:pPr>
          <w:hyperlink w:anchor="_Toc15755" w:history="1">
            <w:r>
              <w:rPr>
                <w:rFonts w:ascii="宋体" w:hAnsi="宋体" w:cs="宋体" w:hint="eastAsia"/>
                <w:szCs w:val="22"/>
              </w:rPr>
              <w:t>2</w:t>
            </w:r>
            <w:r>
              <w:rPr>
                <w:rFonts w:ascii="宋体" w:hAnsi="宋体" w:cs="宋体"/>
                <w:szCs w:val="22"/>
              </w:rPr>
              <w:t>.3.</w:t>
            </w:r>
            <w:r>
              <w:rPr>
                <w:rFonts w:ascii="宋体" w:hAnsi="宋体" w:cs="宋体" w:hint="eastAsia"/>
                <w:szCs w:val="22"/>
              </w:rPr>
              <w:t>3</w:t>
            </w:r>
            <w:r>
              <w:rPr>
                <w:rFonts w:ascii="宋体" w:hAnsi="宋体" w:cs="宋体"/>
                <w:szCs w:val="22"/>
              </w:rPr>
              <w:t xml:space="preserve"> </w:t>
            </w:r>
            <w:r>
              <w:rPr>
                <w:rFonts w:ascii="宋体" w:hAnsi="宋体" w:cs="宋体" w:hint="eastAsia"/>
                <w:szCs w:val="22"/>
              </w:rPr>
              <w:t>技术要求</w:t>
            </w:r>
            <w:r>
              <w:tab/>
            </w:r>
            <w:r>
              <w:fldChar w:fldCharType="begin"/>
            </w:r>
            <w:r>
              <w:instrText xml:space="preserve"> PAGEREF _Toc15755 \h </w:instrText>
            </w:r>
            <w:r>
              <w:fldChar w:fldCharType="separate"/>
            </w:r>
            <w:r>
              <w:t>13</w:t>
            </w:r>
            <w:r>
              <w:fldChar w:fldCharType="end"/>
            </w:r>
          </w:hyperlink>
        </w:p>
        <w:p w14:paraId="0B7FD845" w14:textId="77777777" w:rsidR="0075369D" w:rsidRDefault="00000000">
          <w:pPr>
            <w:pStyle w:val="TOC3"/>
            <w:tabs>
              <w:tab w:val="right" w:leader="dot" w:pos="8306"/>
            </w:tabs>
          </w:pPr>
          <w:hyperlink w:anchor="_Toc18103" w:history="1">
            <w:r>
              <w:rPr>
                <w:rFonts w:ascii="宋体" w:hAnsi="宋体" w:cs="宋体" w:hint="eastAsia"/>
                <w:szCs w:val="22"/>
              </w:rPr>
              <w:t>2.3.4</w:t>
            </w:r>
            <w:r>
              <w:rPr>
                <w:rFonts w:ascii="宋体" w:hAnsi="宋体" w:cs="宋体"/>
                <w:szCs w:val="22"/>
              </w:rPr>
              <w:t xml:space="preserve"> </w:t>
            </w:r>
            <w:r>
              <w:rPr>
                <w:rFonts w:ascii="宋体" w:hAnsi="宋体" w:cs="宋体" w:hint="eastAsia"/>
                <w:szCs w:val="22"/>
              </w:rPr>
              <w:t>维护要求</w:t>
            </w:r>
            <w:r>
              <w:tab/>
            </w:r>
            <w:r>
              <w:fldChar w:fldCharType="begin"/>
            </w:r>
            <w:r>
              <w:instrText xml:space="preserve"> PAGEREF _Toc18103 \h </w:instrText>
            </w:r>
            <w:r>
              <w:fldChar w:fldCharType="separate"/>
            </w:r>
            <w:r>
              <w:t>14</w:t>
            </w:r>
            <w:r>
              <w:fldChar w:fldCharType="end"/>
            </w:r>
          </w:hyperlink>
        </w:p>
        <w:p w14:paraId="5B1CA542" w14:textId="77777777" w:rsidR="0075369D" w:rsidRDefault="00000000">
          <w:pPr>
            <w:pStyle w:val="TOC3"/>
            <w:tabs>
              <w:tab w:val="right" w:leader="dot" w:pos="8306"/>
            </w:tabs>
          </w:pPr>
          <w:hyperlink w:anchor="_Toc15375" w:history="1">
            <w:r>
              <w:rPr>
                <w:rFonts w:ascii="宋体" w:hAnsi="宋体" w:cs="宋体" w:hint="eastAsia"/>
                <w:szCs w:val="22"/>
              </w:rPr>
              <w:t>2.3.5 应急响应</w:t>
            </w:r>
            <w:r>
              <w:tab/>
            </w:r>
            <w:r>
              <w:fldChar w:fldCharType="begin"/>
            </w:r>
            <w:r>
              <w:instrText xml:space="preserve"> PAGEREF _Toc15375 \h </w:instrText>
            </w:r>
            <w:r>
              <w:fldChar w:fldCharType="separate"/>
            </w:r>
            <w:r>
              <w:t>14</w:t>
            </w:r>
            <w:r>
              <w:fldChar w:fldCharType="end"/>
            </w:r>
          </w:hyperlink>
        </w:p>
        <w:p w14:paraId="6605805E" w14:textId="77777777" w:rsidR="0075369D" w:rsidRDefault="00000000">
          <w:pPr>
            <w:pStyle w:val="TOC3"/>
            <w:tabs>
              <w:tab w:val="right" w:leader="dot" w:pos="8306"/>
            </w:tabs>
          </w:pPr>
          <w:hyperlink w:anchor="_Toc5855" w:history="1">
            <w:r>
              <w:rPr>
                <w:rFonts w:ascii="宋体" w:hAnsi="宋体" w:cs="宋体" w:hint="eastAsia"/>
                <w:szCs w:val="22"/>
              </w:rPr>
              <w:t>2.3.6 知识产权与保密要求</w:t>
            </w:r>
            <w:r>
              <w:tab/>
            </w:r>
            <w:r>
              <w:fldChar w:fldCharType="begin"/>
            </w:r>
            <w:r>
              <w:instrText xml:space="preserve"> PAGEREF _Toc5855 \h </w:instrText>
            </w:r>
            <w:r>
              <w:fldChar w:fldCharType="separate"/>
            </w:r>
            <w:r>
              <w:t>14</w:t>
            </w:r>
            <w:r>
              <w:fldChar w:fldCharType="end"/>
            </w:r>
          </w:hyperlink>
        </w:p>
        <w:p w14:paraId="31F09564" w14:textId="77777777" w:rsidR="0075369D" w:rsidRDefault="00000000">
          <w:pPr>
            <w:pStyle w:val="TOC3"/>
            <w:tabs>
              <w:tab w:val="right" w:leader="dot" w:pos="8306"/>
            </w:tabs>
          </w:pPr>
          <w:hyperlink w:anchor="_Toc19857" w:history="1">
            <w:r>
              <w:rPr>
                <w:rFonts w:ascii="宋体" w:hAnsi="宋体" w:cs="宋体" w:hint="eastAsia"/>
                <w:szCs w:val="22"/>
              </w:rPr>
              <w:t>2.3.7 服务承诺要求</w:t>
            </w:r>
            <w:r>
              <w:tab/>
            </w:r>
            <w:r>
              <w:fldChar w:fldCharType="begin"/>
            </w:r>
            <w:r>
              <w:instrText xml:space="preserve"> PAGEREF _Toc19857 \h </w:instrText>
            </w:r>
            <w:r>
              <w:fldChar w:fldCharType="separate"/>
            </w:r>
            <w:r>
              <w:t>15</w:t>
            </w:r>
            <w:r>
              <w:fldChar w:fldCharType="end"/>
            </w:r>
          </w:hyperlink>
        </w:p>
        <w:p w14:paraId="5CCDA123" w14:textId="77777777" w:rsidR="0075369D" w:rsidRDefault="00000000">
          <w:pPr>
            <w:pStyle w:val="TOC3"/>
            <w:tabs>
              <w:tab w:val="right" w:leader="dot" w:pos="8306"/>
            </w:tabs>
          </w:pPr>
          <w:hyperlink w:anchor="_Toc11528" w:history="1">
            <w:r>
              <w:rPr>
                <w:rFonts w:ascii="宋体" w:hAnsi="宋体" w:cs="宋体" w:hint="eastAsia"/>
                <w:szCs w:val="22"/>
              </w:rPr>
              <w:t>2.3.8 质量控制</w:t>
            </w:r>
            <w:r>
              <w:tab/>
            </w:r>
            <w:r>
              <w:fldChar w:fldCharType="begin"/>
            </w:r>
            <w:r>
              <w:instrText xml:space="preserve"> PAGEREF _Toc11528 \h </w:instrText>
            </w:r>
            <w:r>
              <w:fldChar w:fldCharType="separate"/>
            </w:r>
            <w:r>
              <w:t>15</w:t>
            </w:r>
            <w:r>
              <w:fldChar w:fldCharType="end"/>
            </w:r>
          </w:hyperlink>
        </w:p>
        <w:p w14:paraId="3FF6A7BF" w14:textId="77777777" w:rsidR="0075369D" w:rsidRDefault="00000000">
          <w:pPr>
            <w:pStyle w:val="TOC2"/>
            <w:tabs>
              <w:tab w:val="clear" w:pos="1080"/>
              <w:tab w:val="clear" w:pos="8302"/>
              <w:tab w:val="right" w:leader="dot" w:pos="8306"/>
            </w:tabs>
            <w:ind w:left="1035"/>
          </w:pPr>
          <w:hyperlink w:anchor="_Toc14640" w:history="1">
            <w:r>
              <w:rPr>
                <w:rFonts w:ascii="宋体" w:hAnsi="宋体" w:cs="宋体"/>
                <w:bCs/>
                <w:szCs w:val="32"/>
              </w:rPr>
              <w:t xml:space="preserve">2.4 </w:t>
            </w:r>
            <w:r>
              <w:rPr>
                <w:rFonts w:ascii="宋体" w:hAnsi="宋体" w:cs="宋体" w:hint="eastAsia"/>
                <w:bCs/>
                <w:szCs w:val="32"/>
              </w:rPr>
              <w:t>服务期限</w:t>
            </w:r>
            <w:r>
              <w:tab/>
            </w:r>
            <w:r>
              <w:fldChar w:fldCharType="begin"/>
            </w:r>
            <w:r>
              <w:instrText xml:space="preserve"> PAGEREF _Toc14640 \h </w:instrText>
            </w:r>
            <w:r>
              <w:fldChar w:fldCharType="separate"/>
            </w:r>
            <w:r>
              <w:t>15</w:t>
            </w:r>
            <w:r>
              <w:fldChar w:fldCharType="end"/>
            </w:r>
          </w:hyperlink>
        </w:p>
        <w:p w14:paraId="534AD98F" w14:textId="77777777" w:rsidR="0075369D" w:rsidRDefault="00000000">
          <w:pPr>
            <w:pStyle w:val="TOC2"/>
            <w:tabs>
              <w:tab w:val="clear" w:pos="1080"/>
              <w:tab w:val="clear" w:pos="8302"/>
              <w:tab w:val="right" w:leader="dot" w:pos="8306"/>
            </w:tabs>
            <w:ind w:left="1035"/>
          </w:pPr>
          <w:hyperlink w:anchor="_Toc13696" w:history="1">
            <w:r>
              <w:rPr>
                <w:rFonts w:ascii="宋体" w:hAnsi="宋体" w:cs="宋体" w:hint="eastAsia"/>
                <w:bCs/>
                <w:szCs w:val="28"/>
              </w:rPr>
              <w:t>2.5 供应商退出机制</w:t>
            </w:r>
            <w:r>
              <w:tab/>
            </w:r>
            <w:r>
              <w:fldChar w:fldCharType="begin"/>
            </w:r>
            <w:r>
              <w:instrText xml:space="preserve"> PAGEREF _Toc13696 \h </w:instrText>
            </w:r>
            <w:r>
              <w:fldChar w:fldCharType="separate"/>
            </w:r>
            <w:r>
              <w:t>15</w:t>
            </w:r>
            <w:r>
              <w:fldChar w:fldCharType="end"/>
            </w:r>
          </w:hyperlink>
        </w:p>
        <w:p w14:paraId="4AA1CEF5" w14:textId="77777777" w:rsidR="0075369D" w:rsidRDefault="00000000">
          <w:pPr>
            <w:spacing w:line="360" w:lineRule="auto"/>
            <w:rPr>
              <w:szCs w:val="21"/>
            </w:rPr>
          </w:pPr>
          <w:r>
            <w:rPr>
              <w:bCs/>
              <w:szCs w:val="21"/>
              <w:lang w:val="zh-CN"/>
            </w:rPr>
            <w:fldChar w:fldCharType="end"/>
          </w:r>
        </w:p>
      </w:sdtContent>
    </w:sdt>
    <w:p w14:paraId="3C8D783A" w14:textId="77777777" w:rsidR="0075369D" w:rsidRDefault="0075369D">
      <w:pPr>
        <w:widowControl/>
        <w:spacing w:line="360" w:lineRule="auto"/>
        <w:jc w:val="center"/>
        <w:rPr>
          <w:rFonts w:ascii="仿宋" w:eastAsia="仿宋" w:hAnsi="仿宋" w:hint="eastAsia"/>
          <w:bCs/>
          <w:kern w:val="44"/>
          <w:sz w:val="28"/>
          <w:szCs w:val="28"/>
        </w:rPr>
      </w:pPr>
    </w:p>
    <w:p w14:paraId="1A4A2024" w14:textId="77777777" w:rsidR="0075369D" w:rsidRDefault="0075369D">
      <w:pPr>
        <w:pStyle w:val="af5"/>
        <w:spacing w:line="360" w:lineRule="auto"/>
        <w:ind w:firstLine="240"/>
        <w:rPr>
          <w:rFonts w:hint="eastAsia"/>
          <w:lang w:eastAsia="zh-CN"/>
        </w:rPr>
      </w:pPr>
    </w:p>
    <w:p w14:paraId="28BFBB1A" w14:textId="77777777" w:rsidR="0075369D" w:rsidRDefault="00000000">
      <w:pPr>
        <w:keepNext/>
        <w:keepLines/>
        <w:numPr>
          <w:ilvl w:val="0"/>
          <w:numId w:val="1"/>
        </w:numPr>
        <w:spacing w:before="340" w:after="330" w:line="360" w:lineRule="auto"/>
        <w:outlineLvl w:val="0"/>
        <w:rPr>
          <w:rFonts w:ascii="宋体" w:hAnsi="宋体" w:cs="宋体" w:hint="eastAsia"/>
          <w:b/>
          <w:bCs/>
          <w:kern w:val="44"/>
          <w:sz w:val="44"/>
          <w:szCs w:val="44"/>
        </w:rPr>
      </w:pPr>
      <w:bookmarkStart w:id="3" w:name="_Toc77150444"/>
      <w:bookmarkStart w:id="4" w:name="_Toc2060060476"/>
      <w:bookmarkStart w:id="5" w:name="_Toc1931140870"/>
      <w:bookmarkStart w:id="6" w:name="_Toc224208617"/>
      <w:bookmarkStart w:id="7" w:name="_Toc354588593"/>
      <w:bookmarkStart w:id="8" w:name="_Toc416783471"/>
      <w:bookmarkStart w:id="9" w:name="_Toc15623"/>
      <w:bookmarkStart w:id="10" w:name="_Toc4310"/>
      <w:bookmarkStart w:id="11" w:name="_Toc12196"/>
      <w:bookmarkStart w:id="12" w:name="_Toc31905"/>
      <w:r>
        <w:rPr>
          <w:rFonts w:ascii="宋体" w:hAnsi="宋体" w:cs="宋体" w:hint="eastAsia"/>
          <w:b/>
          <w:bCs/>
          <w:kern w:val="44"/>
          <w:sz w:val="44"/>
          <w:szCs w:val="44"/>
        </w:rPr>
        <w:lastRenderedPageBreak/>
        <w:t>总则</w:t>
      </w:r>
      <w:bookmarkEnd w:id="3"/>
      <w:bookmarkEnd w:id="4"/>
      <w:bookmarkEnd w:id="5"/>
      <w:bookmarkEnd w:id="6"/>
      <w:bookmarkEnd w:id="7"/>
      <w:bookmarkEnd w:id="8"/>
      <w:bookmarkEnd w:id="9"/>
      <w:bookmarkEnd w:id="10"/>
      <w:bookmarkEnd w:id="11"/>
      <w:bookmarkEnd w:id="12"/>
    </w:p>
    <w:p w14:paraId="5E79ACDC" w14:textId="77777777" w:rsidR="0075369D" w:rsidRDefault="00000000">
      <w:pPr>
        <w:keepNext/>
        <w:keepLines/>
        <w:numPr>
          <w:ilvl w:val="1"/>
          <w:numId w:val="1"/>
        </w:numPr>
        <w:spacing w:before="260" w:after="260" w:line="360" w:lineRule="auto"/>
        <w:outlineLvl w:val="1"/>
        <w:rPr>
          <w:rFonts w:ascii="宋体" w:hAnsi="宋体" w:cs="宋体" w:hint="eastAsia"/>
          <w:b/>
          <w:bCs/>
          <w:sz w:val="32"/>
          <w:szCs w:val="32"/>
        </w:rPr>
      </w:pPr>
      <w:bookmarkStart w:id="13" w:name="_Toc1764244979"/>
      <w:bookmarkStart w:id="14" w:name="_Toc224208618"/>
      <w:bookmarkStart w:id="15" w:name="_Toc354588594"/>
      <w:bookmarkStart w:id="16" w:name="_Toc416783472"/>
      <w:bookmarkStart w:id="17" w:name="_Toc15795"/>
      <w:bookmarkStart w:id="18" w:name="_Toc353368308"/>
      <w:bookmarkStart w:id="19" w:name="_Toc1705063198"/>
      <w:bookmarkStart w:id="20" w:name="_Toc77150445"/>
      <w:bookmarkStart w:id="21" w:name="_Toc9932"/>
      <w:bookmarkStart w:id="22" w:name="_Toc18347"/>
      <w:bookmarkStart w:id="23" w:name="_Toc31375"/>
      <w:r>
        <w:rPr>
          <w:rFonts w:ascii="宋体" w:hAnsi="宋体" w:cs="宋体" w:hint="eastAsia"/>
          <w:b/>
          <w:bCs/>
          <w:sz w:val="32"/>
          <w:szCs w:val="32"/>
        </w:rPr>
        <w:t>概述</w:t>
      </w:r>
      <w:bookmarkEnd w:id="13"/>
      <w:bookmarkEnd w:id="14"/>
      <w:bookmarkEnd w:id="15"/>
      <w:bookmarkEnd w:id="16"/>
      <w:bookmarkEnd w:id="17"/>
      <w:bookmarkEnd w:id="18"/>
      <w:bookmarkEnd w:id="19"/>
      <w:bookmarkEnd w:id="20"/>
      <w:bookmarkEnd w:id="21"/>
      <w:bookmarkEnd w:id="22"/>
      <w:bookmarkEnd w:id="23"/>
    </w:p>
    <w:p w14:paraId="7CE95AA5" w14:textId="77777777" w:rsidR="0075369D" w:rsidRDefault="00000000">
      <w:pPr>
        <w:widowControl/>
        <w:numPr>
          <w:ilvl w:val="0"/>
          <w:numId w:val="2"/>
        </w:numPr>
        <w:spacing w:line="360" w:lineRule="auto"/>
        <w:jc w:val="left"/>
        <w:rPr>
          <w:rFonts w:ascii="宋体" w:hAnsi="宋体" w:cs="宋体" w:hint="eastAsia"/>
          <w:bCs/>
          <w:sz w:val="24"/>
          <w:szCs w:val="22"/>
        </w:rPr>
      </w:pPr>
      <w:r>
        <w:rPr>
          <w:rFonts w:ascii="宋体" w:hAnsi="宋体" w:cs="宋体" w:hint="eastAsia"/>
          <w:sz w:val="24"/>
          <w:szCs w:val="22"/>
        </w:rPr>
        <w:t>本规范书为</w:t>
      </w:r>
      <w:r>
        <w:rPr>
          <w:rFonts w:ascii="宋体" w:hAnsi="宋体" w:cs="宋体" w:hint="eastAsia"/>
          <w:sz w:val="24"/>
          <w:szCs w:val="22"/>
          <w:lang w:eastAsia="zh-Hans"/>
        </w:rPr>
        <w:t>中国移动（浙江）创新研究院有限</w:t>
      </w:r>
      <w:r>
        <w:rPr>
          <w:rFonts w:ascii="宋体" w:hAnsi="宋体" w:cs="宋体" w:hint="eastAsia"/>
          <w:sz w:val="24"/>
          <w:szCs w:val="22"/>
        </w:rPr>
        <w:t>公司（甲方）</w:t>
      </w:r>
      <w:r>
        <w:rPr>
          <w:rFonts w:ascii="宋体" w:hAnsi="宋体" w:cs="宋体" w:hint="eastAsia"/>
          <w:bCs/>
          <w:sz w:val="24"/>
          <w:szCs w:val="22"/>
        </w:rPr>
        <w:t>“中国移动（浙江）创新研究院2026-2028年网络安全高级技术支持服务项目</w:t>
      </w:r>
      <w:r>
        <w:rPr>
          <w:rFonts w:ascii="宋体" w:hAnsi="宋体" w:cs="宋体" w:hint="eastAsia"/>
          <w:sz w:val="24"/>
          <w:szCs w:val="22"/>
        </w:rPr>
        <w:t>”的技术要求，供服务提供商（乙方）编写建议书和报价书之用。建议书的内容格式应符合本规范书的要求。</w:t>
      </w:r>
    </w:p>
    <w:p w14:paraId="1F476D45" w14:textId="77777777" w:rsidR="0075369D" w:rsidRDefault="00000000">
      <w:pPr>
        <w:widowControl/>
        <w:numPr>
          <w:ilvl w:val="0"/>
          <w:numId w:val="2"/>
        </w:numPr>
        <w:spacing w:line="360" w:lineRule="auto"/>
        <w:jc w:val="left"/>
        <w:rPr>
          <w:rFonts w:ascii="宋体" w:hAnsi="宋体" w:cs="宋体" w:hint="eastAsia"/>
          <w:sz w:val="24"/>
          <w:szCs w:val="22"/>
        </w:rPr>
      </w:pPr>
      <w:r>
        <w:rPr>
          <w:rFonts w:ascii="宋体" w:hAnsi="宋体" w:cs="宋体" w:hint="eastAsia"/>
          <w:sz w:val="24"/>
          <w:szCs w:val="22"/>
        </w:rPr>
        <w:t>乙方在建议书中，对本规范书中所提各项要求能否实现与满足，应逐项予以说明和答复。乙方亦可根据自己提供的产品技术性能具体情况，在建议书中提出建议，并附详细资料和说明。</w:t>
      </w:r>
    </w:p>
    <w:p w14:paraId="1237B754" w14:textId="77777777" w:rsidR="0075369D" w:rsidRDefault="00000000">
      <w:pPr>
        <w:widowControl/>
        <w:numPr>
          <w:ilvl w:val="0"/>
          <w:numId w:val="2"/>
        </w:numPr>
        <w:spacing w:line="360" w:lineRule="auto"/>
        <w:jc w:val="left"/>
        <w:rPr>
          <w:rFonts w:ascii="宋体" w:hAnsi="宋体" w:cs="宋体" w:hint="eastAsia"/>
          <w:sz w:val="24"/>
          <w:szCs w:val="22"/>
        </w:rPr>
      </w:pPr>
      <w:r>
        <w:rPr>
          <w:rFonts w:ascii="宋体" w:hAnsi="宋体" w:cs="宋体" w:hint="eastAsia"/>
          <w:sz w:val="24"/>
          <w:szCs w:val="22"/>
        </w:rPr>
        <w:t>甲方在任何时候都保留和拥有对本文件的解释权。甲方有权在签定合同前，根据需要修改和补充本技术规范书，修改补充后的最终技术规范书将作为合同的附件。</w:t>
      </w:r>
    </w:p>
    <w:p w14:paraId="7E80BB06" w14:textId="77777777" w:rsidR="0075369D" w:rsidRDefault="00000000">
      <w:pPr>
        <w:widowControl/>
        <w:numPr>
          <w:ilvl w:val="0"/>
          <w:numId w:val="2"/>
        </w:numPr>
        <w:spacing w:line="360" w:lineRule="auto"/>
        <w:jc w:val="left"/>
        <w:rPr>
          <w:rFonts w:ascii="宋体" w:hAnsi="宋体" w:cs="宋体" w:hint="eastAsia"/>
          <w:sz w:val="24"/>
          <w:szCs w:val="22"/>
        </w:rPr>
      </w:pPr>
      <w:r>
        <w:rPr>
          <w:rFonts w:ascii="宋体" w:hAnsi="宋体" w:cs="宋体" w:hint="eastAsia"/>
          <w:sz w:val="24"/>
          <w:szCs w:val="22"/>
        </w:rPr>
        <w:t>乙方在参与本项目中，对于甲方披露和提供的所有信息应作为商业秘密对待并予以保护，未经甲方授权不得将任何信息泄漏给第三方，否则甲方有权追究乙方的责任。</w:t>
      </w:r>
    </w:p>
    <w:p w14:paraId="2B93C726" w14:textId="77777777" w:rsidR="0075369D" w:rsidRDefault="00000000">
      <w:pPr>
        <w:widowControl/>
        <w:numPr>
          <w:ilvl w:val="0"/>
          <w:numId w:val="2"/>
        </w:numPr>
        <w:spacing w:line="360" w:lineRule="auto"/>
        <w:jc w:val="left"/>
        <w:rPr>
          <w:rFonts w:ascii="宋体" w:hAnsi="宋体" w:cs="宋体" w:hint="eastAsia"/>
          <w:sz w:val="24"/>
          <w:szCs w:val="22"/>
        </w:rPr>
      </w:pPr>
      <w:r>
        <w:rPr>
          <w:rFonts w:ascii="宋体" w:hAnsi="宋体" w:cs="宋体" w:hint="eastAsia"/>
          <w:sz w:val="24"/>
          <w:szCs w:val="22"/>
        </w:rPr>
        <w:t>在项目验收前，若采购人有新的相关标准出台，乙方应根据甲方要求在一定时限内免费负责修改或更新。</w:t>
      </w:r>
    </w:p>
    <w:p w14:paraId="5F4BBAEB" w14:textId="77777777" w:rsidR="0075369D" w:rsidRDefault="00000000">
      <w:pPr>
        <w:keepNext/>
        <w:keepLines/>
        <w:numPr>
          <w:ilvl w:val="1"/>
          <w:numId w:val="1"/>
        </w:numPr>
        <w:spacing w:before="260" w:after="260" w:line="360" w:lineRule="auto"/>
        <w:outlineLvl w:val="1"/>
        <w:rPr>
          <w:rFonts w:ascii="宋体" w:hAnsi="宋体" w:cs="宋体" w:hint="eastAsia"/>
          <w:b/>
          <w:bCs/>
          <w:sz w:val="32"/>
          <w:szCs w:val="32"/>
        </w:rPr>
      </w:pPr>
      <w:bookmarkStart w:id="24" w:name="_Toc1358647924"/>
      <w:bookmarkStart w:id="25" w:name="_Toc77150446"/>
      <w:bookmarkStart w:id="26" w:name="_Toc224208619"/>
      <w:bookmarkStart w:id="27" w:name="_Toc416783473"/>
      <w:bookmarkStart w:id="28" w:name="_Toc20043"/>
      <w:bookmarkStart w:id="29" w:name="_Toc975383218"/>
      <w:bookmarkStart w:id="30" w:name="_Toc14732"/>
      <w:bookmarkStart w:id="31" w:name="_Toc10524"/>
      <w:bookmarkStart w:id="32" w:name="_Toc10293"/>
      <w:r>
        <w:rPr>
          <w:rFonts w:ascii="宋体" w:hAnsi="宋体" w:cs="宋体" w:hint="eastAsia"/>
          <w:b/>
          <w:bCs/>
          <w:sz w:val="32"/>
          <w:szCs w:val="32"/>
        </w:rPr>
        <w:t>技术标准</w:t>
      </w:r>
      <w:bookmarkEnd w:id="24"/>
      <w:bookmarkEnd w:id="25"/>
      <w:bookmarkEnd w:id="26"/>
      <w:bookmarkEnd w:id="27"/>
      <w:bookmarkEnd w:id="28"/>
      <w:bookmarkEnd w:id="29"/>
      <w:bookmarkEnd w:id="30"/>
      <w:bookmarkEnd w:id="31"/>
      <w:bookmarkEnd w:id="32"/>
    </w:p>
    <w:p w14:paraId="774EB976" w14:textId="77777777" w:rsidR="0075369D" w:rsidRDefault="00000000">
      <w:pPr>
        <w:spacing w:line="360" w:lineRule="auto"/>
        <w:ind w:firstLineChars="200" w:firstLine="480"/>
        <w:rPr>
          <w:rFonts w:ascii="宋体" w:hAnsi="宋体" w:cs="宋体" w:hint="eastAsia"/>
          <w:sz w:val="24"/>
          <w:szCs w:val="22"/>
        </w:rPr>
      </w:pPr>
      <w:r>
        <w:rPr>
          <w:rFonts w:ascii="宋体" w:hAnsi="宋体" w:cs="宋体" w:hint="eastAsia"/>
          <w:sz w:val="24"/>
          <w:szCs w:val="22"/>
        </w:rPr>
        <w:t>乙方提供网络安全服务应符合或高于集团公司颁布的相关规范：</w:t>
      </w:r>
    </w:p>
    <w:p w14:paraId="222DD9E2" w14:textId="77777777" w:rsidR="0075369D" w:rsidRDefault="00000000">
      <w:pPr>
        <w:spacing w:line="360" w:lineRule="auto"/>
        <w:ind w:firstLineChars="200" w:firstLine="480"/>
        <w:rPr>
          <w:rFonts w:ascii="宋体" w:hAnsi="宋体" w:cs="宋体" w:hint="eastAsia"/>
          <w:sz w:val="24"/>
          <w:szCs w:val="22"/>
        </w:rPr>
      </w:pPr>
      <w:bookmarkStart w:id="33" w:name="_Toc458414783"/>
      <w:bookmarkStart w:id="34" w:name="_Toc458372594"/>
      <w:bookmarkStart w:id="35" w:name="_Toc458414784"/>
      <w:bookmarkStart w:id="36" w:name="_Toc458372595"/>
      <w:bookmarkStart w:id="37" w:name="_Toc458414782"/>
      <w:bookmarkStart w:id="38" w:name="_Toc458372590"/>
      <w:bookmarkStart w:id="39" w:name="_Toc458372589"/>
      <w:bookmarkStart w:id="40" w:name="_Toc458372592"/>
      <w:bookmarkStart w:id="41" w:name="_Toc458372591"/>
      <w:bookmarkStart w:id="42" w:name="_Toc458414786"/>
      <w:bookmarkStart w:id="43" w:name="_Toc458414781"/>
      <w:bookmarkStart w:id="44" w:name="_Toc458414787"/>
      <w:bookmarkStart w:id="45" w:name="_Toc354588595"/>
      <w:bookmarkStart w:id="46" w:name="_Toc416783474"/>
      <w:bookmarkStart w:id="47" w:name="_Toc275856409"/>
      <w:bookmarkStart w:id="48" w:name="_Toc1523067375"/>
      <w:bookmarkStart w:id="49" w:name="_Toc602040117"/>
      <w:bookmarkStart w:id="50" w:name="_Toc353368309"/>
      <w:bookmarkStart w:id="51" w:name="_Toc77150447"/>
      <w:bookmarkEnd w:id="33"/>
      <w:bookmarkEnd w:id="34"/>
      <w:bookmarkEnd w:id="35"/>
      <w:bookmarkEnd w:id="36"/>
      <w:bookmarkEnd w:id="37"/>
      <w:bookmarkEnd w:id="38"/>
      <w:bookmarkEnd w:id="39"/>
      <w:bookmarkEnd w:id="40"/>
      <w:bookmarkEnd w:id="41"/>
      <w:bookmarkEnd w:id="42"/>
      <w:bookmarkEnd w:id="43"/>
      <w:bookmarkEnd w:id="44"/>
      <w:r>
        <w:rPr>
          <w:rFonts w:ascii="宋体" w:hAnsi="宋体" w:cs="宋体" w:hint="eastAsia"/>
          <w:sz w:val="24"/>
          <w:szCs w:val="22"/>
        </w:rPr>
        <w:t>（1）《中华人民共和国网络安全法》</w:t>
      </w:r>
    </w:p>
    <w:p w14:paraId="540C69E0" w14:textId="77777777" w:rsidR="0075369D" w:rsidRDefault="00000000">
      <w:pPr>
        <w:spacing w:line="360" w:lineRule="auto"/>
        <w:ind w:firstLineChars="200" w:firstLine="480"/>
        <w:rPr>
          <w:rFonts w:ascii="宋体" w:hAnsi="宋体" w:cs="宋体" w:hint="eastAsia"/>
          <w:sz w:val="24"/>
          <w:szCs w:val="22"/>
        </w:rPr>
      </w:pPr>
      <w:r>
        <w:rPr>
          <w:rFonts w:ascii="宋体" w:hAnsi="宋体" w:cs="宋体" w:hint="eastAsia"/>
          <w:sz w:val="24"/>
          <w:szCs w:val="22"/>
        </w:rPr>
        <w:t>（2）《中华人民共和国数据安全法》</w:t>
      </w:r>
    </w:p>
    <w:p w14:paraId="7B4687BE" w14:textId="77777777" w:rsidR="0075369D" w:rsidRDefault="00000000">
      <w:pPr>
        <w:spacing w:line="360" w:lineRule="auto"/>
        <w:ind w:firstLineChars="200" w:firstLine="480"/>
        <w:rPr>
          <w:rFonts w:ascii="宋体" w:hAnsi="宋体" w:cs="宋体" w:hint="eastAsia"/>
          <w:sz w:val="24"/>
          <w:szCs w:val="22"/>
        </w:rPr>
      </w:pPr>
      <w:r>
        <w:rPr>
          <w:rFonts w:ascii="宋体" w:hAnsi="宋体" w:cs="宋体" w:hint="eastAsia"/>
          <w:sz w:val="24"/>
          <w:szCs w:val="22"/>
        </w:rPr>
        <w:t>（3）《GB_T 22239信息安全技术 网络安全等级保护基本要求》</w:t>
      </w:r>
    </w:p>
    <w:p w14:paraId="5BD28E44" w14:textId="77777777" w:rsidR="0075369D" w:rsidRDefault="00000000">
      <w:pPr>
        <w:spacing w:line="360" w:lineRule="auto"/>
        <w:ind w:firstLineChars="200" w:firstLine="480"/>
        <w:rPr>
          <w:rFonts w:ascii="宋体" w:hAnsi="宋体" w:cs="宋体" w:hint="eastAsia"/>
          <w:sz w:val="24"/>
          <w:szCs w:val="22"/>
        </w:rPr>
      </w:pPr>
      <w:r>
        <w:rPr>
          <w:rFonts w:ascii="宋体" w:hAnsi="宋体" w:cs="宋体" w:hint="eastAsia"/>
          <w:sz w:val="24"/>
          <w:szCs w:val="22"/>
        </w:rPr>
        <w:t>（4）《2026年基础电信企业专业公司网络与信息安全工作考核要点与评分标准》</w:t>
      </w:r>
    </w:p>
    <w:p w14:paraId="37A8A57D" w14:textId="77777777" w:rsidR="0075369D" w:rsidRDefault="00000000">
      <w:pPr>
        <w:spacing w:line="360" w:lineRule="auto"/>
        <w:ind w:firstLineChars="200" w:firstLine="480"/>
        <w:rPr>
          <w:rFonts w:ascii="宋体" w:hAnsi="宋体" w:cs="宋体" w:hint="eastAsia"/>
          <w:sz w:val="24"/>
          <w:szCs w:val="22"/>
        </w:rPr>
      </w:pPr>
      <w:r>
        <w:rPr>
          <w:rFonts w:ascii="宋体" w:hAnsi="宋体" w:cs="宋体" w:hint="eastAsia"/>
          <w:sz w:val="24"/>
          <w:szCs w:val="22"/>
        </w:rPr>
        <w:t>（5）《互联网新技术新业务信息安全评估指南》</w:t>
      </w:r>
    </w:p>
    <w:p w14:paraId="5BE17DA2" w14:textId="77777777" w:rsidR="0075369D" w:rsidRDefault="00000000">
      <w:pPr>
        <w:spacing w:line="360" w:lineRule="auto"/>
        <w:ind w:firstLineChars="200" w:firstLine="480"/>
        <w:rPr>
          <w:rFonts w:ascii="宋体" w:hAnsi="宋体" w:cs="宋体" w:hint="eastAsia"/>
          <w:sz w:val="24"/>
          <w:szCs w:val="22"/>
        </w:rPr>
      </w:pPr>
      <w:r>
        <w:rPr>
          <w:rFonts w:ascii="宋体" w:hAnsi="宋体" w:cs="宋体" w:hint="eastAsia"/>
          <w:sz w:val="24"/>
          <w:szCs w:val="22"/>
        </w:rPr>
        <w:t>（6）《通信网络安全防护管理规定》</w:t>
      </w:r>
    </w:p>
    <w:p w14:paraId="749D85CB" w14:textId="77777777" w:rsidR="0075369D" w:rsidRDefault="00000000">
      <w:pPr>
        <w:spacing w:line="360" w:lineRule="auto"/>
        <w:ind w:firstLineChars="200" w:firstLine="480"/>
        <w:rPr>
          <w:rFonts w:ascii="宋体" w:hAnsi="宋体" w:cs="宋体" w:hint="eastAsia"/>
          <w:sz w:val="24"/>
          <w:szCs w:val="22"/>
        </w:rPr>
      </w:pPr>
      <w:r>
        <w:rPr>
          <w:rFonts w:ascii="宋体" w:hAnsi="宋体" w:cs="宋体" w:hint="eastAsia"/>
          <w:sz w:val="24"/>
          <w:szCs w:val="22"/>
        </w:rPr>
        <w:lastRenderedPageBreak/>
        <w:t>（</w:t>
      </w:r>
      <w:r>
        <w:rPr>
          <w:rFonts w:ascii="宋体" w:hAnsi="宋体" w:cs="宋体"/>
          <w:sz w:val="24"/>
          <w:szCs w:val="22"/>
        </w:rPr>
        <w:t>7</w:t>
      </w:r>
      <w:r>
        <w:rPr>
          <w:rFonts w:ascii="宋体" w:hAnsi="宋体" w:cs="宋体" w:hint="eastAsia"/>
          <w:sz w:val="24"/>
          <w:szCs w:val="22"/>
        </w:rPr>
        <w:t>）《信息安全技术个人信息安全规范》</w:t>
      </w:r>
    </w:p>
    <w:p w14:paraId="5A22A3B2" w14:textId="77777777" w:rsidR="0075369D" w:rsidRDefault="00000000">
      <w:pPr>
        <w:spacing w:line="360" w:lineRule="auto"/>
        <w:ind w:firstLineChars="200" w:firstLine="480"/>
        <w:rPr>
          <w:rFonts w:ascii="宋体" w:hAnsi="宋体" w:cs="宋体" w:hint="eastAsia"/>
          <w:sz w:val="24"/>
          <w:szCs w:val="22"/>
        </w:rPr>
      </w:pPr>
      <w:r>
        <w:rPr>
          <w:rFonts w:ascii="宋体" w:hAnsi="宋体" w:cs="宋体" w:hint="eastAsia"/>
          <w:sz w:val="24"/>
          <w:szCs w:val="22"/>
        </w:rPr>
        <w:t>（</w:t>
      </w:r>
      <w:r>
        <w:rPr>
          <w:rFonts w:ascii="宋体" w:hAnsi="宋体" w:cs="宋体"/>
          <w:sz w:val="24"/>
          <w:szCs w:val="22"/>
        </w:rPr>
        <w:t>8</w:t>
      </w:r>
      <w:r>
        <w:rPr>
          <w:rFonts w:ascii="宋体" w:hAnsi="宋体" w:cs="宋体" w:hint="eastAsia"/>
          <w:sz w:val="24"/>
          <w:szCs w:val="22"/>
        </w:rPr>
        <w:t>）集团公司相关工作要求</w:t>
      </w:r>
    </w:p>
    <w:p w14:paraId="7DEED3AE" w14:textId="77777777" w:rsidR="0075369D" w:rsidRDefault="00000000">
      <w:pPr>
        <w:keepNext/>
        <w:keepLines/>
        <w:numPr>
          <w:ilvl w:val="1"/>
          <w:numId w:val="1"/>
        </w:numPr>
        <w:spacing w:before="260" w:after="260" w:line="360" w:lineRule="auto"/>
        <w:outlineLvl w:val="1"/>
        <w:rPr>
          <w:rFonts w:ascii="宋体" w:hAnsi="宋体" w:cs="宋体" w:hint="eastAsia"/>
          <w:b/>
          <w:bCs/>
          <w:sz w:val="32"/>
          <w:szCs w:val="32"/>
        </w:rPr>
      </w:pPr>
      <w:bookmarkStart w:id="52" w:name="_Toc29724"/>
      <w:bookmarkStart w:id="53" w:name="_Toc224208620"/>
      <w:bookmarkStart w:id="54" w:name="_Toc16980"/>
      <w:bookmarkStart w:id="55" w:name="_Toc24295"/>
      <w:bookmarkStart w:id="56" w:name="_Toc10847"/>
      <w:r>
        <w:rPr>
          <w:rFonts w:ascii="宋体" w:hAnsi="宋体" w:cs="宋体" w:hint="eastAsia"/>
          <w:b/>
          <w:bCs/>
          <w:sz w:val="32"/>
          <w:szCs w:val="32"/>
        </w:rPr>
        <w:t>本期标的</w:t>
      </w:r>
      <w:bookmarkEnd w:id="45"/>
      <w:bookmarkEnd w:id="46"/>
      <w:bookmarkEnd w:id="47"/>
      <w:bookmarkEnd w:id="48"/>
      <w:bookmarkEnd w:id="49"/>
      <w:bookmarkEnd w:id="50"/>
      <w:bookmarkEnd w:id="51"/>
      <w:bookmarkEnd w:id="52"/>
      <w:bookmarkEnd w:id="53"/>
      <w:bookmarkEnd w:id="54"/>
      <w:bookmarkEnd w:id="55"/>
      <w:bookmarkEnd w:id="56"/>
    </w:p>
    <w:p w14:paraId="4E3BA941" w14:textId="77777777" w:rsidR="0075369D" w:rsidRDefault="00000000">
      <w:pPr>
        <w:spacing w:line="360" w:lineRule="auto"/>
        <w:ind w:firstLineChars="200" w:firstLine="480"/>
        <w:rPr>
          <w:rFonts w:ascii="宋体" w:hAnsi="宋体" w:cs="宋体" w:hint="eastAsia"/>
          <w:sz w:val="24"/>
          <w:szCs w:val="22"/>
        </w:rPr>
      </w:pPr>
      <w:r>
        <w:rPr>
          <w:rFonts w:ascii="宋体" w:hAnsi="宋体" w:cs="宋体" w:hint="eastAsia"/>
          <w:sz w:val="24"/>
          <w:szCs w:val="22"/>
        </w:rPr>
        <w:t>为持续贯彻落实两部委、集团公司关于做好网络安全防护与运营的相关工作要求，以及进一步强化浙江创新院网络安全保障体系，需持续加强和规范网络安全管理和防护工作，完善安全运营体系，提升中国移动(浙江)创新研究院整体安全水平。随着大语言模型、AI应用快速普及带来的新型资产（如AI智能体、大模型等）不断涌现，以及外部攻击手段不断的演进，按照工信部2026年基础电信企业省级公司网络与信息安全工作考核要点、工信部《通信网络安全防护管理规定》的要求，急需增强针对暴露资产和新型资产的梳理与安全防护能力，需要投入更多的人力物力来应对网络安全风险。拟采购网络安全高级技术支持服务。</w:t>
      </w:r>
    </w:p>
    <w:p w14:paraId="61D903F2" w14:textId="77777777" w:rsidR="0075369D" w:rsidRDefault="00000000">
      <w:pPr>
        <w:keepNext/>
        <w:keepLines/>
        <w:numPr>
          <w:ilvl w:val="1"/>
          <w:numId w:val="1"/>
        </w:numPr>
        <w:spacing w:before="260" w:after="260" w:line="360" w:lineRule="auto"/>
        <w:outlineLvl w:val="1"/>
        <w:rPr>
          <w:rFonts w:ascii="宋体" w:hAnsi="宋体" w:cs="宋体" w:hint="eastAsia"/>
          <w:b/>
          <w:bCs/>
          <w:sz w:val="32"/>
          <w:szCs w:val="32"/>
        </w:rPr>
      </w:pPr>
      <w:bookmarkStart w:id="57" w:name="_Toc188299385"/>
      <w:bookmarkStart w:id="58" w:name="_Toc191458811"/>
      <w:bookmarkStart w:id="59" w:name="_Toc416783475"/>
      <w:bookmarkStart w:id="60" w:name="_Toc1692785402"/>
      <w:bookmarkStart w:id="61" w:name="_Toc77150448"/>
      <w:bookmarkStart w:id="62" w:name="_Toc353368313"/>
      <w:bookmarkStart w:id="63" w:name="_Toc354588599"/>
      <w:bookmarkStart w:id="64" w:name="_Toc224208621"/>
      <w:bookmarkStart w:id="65" w:name="_Toc169413378"/>
      <w:bookmarkStart w:id="66" w:name="_Toc117486628"/>
      <w:bookmarkStart w:id="67" w:name="_Toc3470"/>
      <w:bookmarkStart w:id="68" w:name="_Toc26646"/>
      <w:bookmarkStart w:id="69" w:name="_Toc27420"/>
      <w:bookmarkStart w:id="70" w:name="_Toc15936"/>
      <w:r>
        <w:rPr>
          <w:rFonts w:ascii="宋体" w:hAnsi="宋体" w:cs="宋体" w:hint="eastAsia"/>
          <w:b/>
          <w:bCs/>
          <w:sz w:val="32"/>
          <w:szCs w:val="32"/>
        </w:rPr>
        <w:t>技术建议书要求</w:t>
      </w:r>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5D7932E1" w14:textId="77777777" w:rsidR="0075369D" w:rsidRDefault="00000000">
      <w:pPr>
        <w:spacing w:line="360" w:lineRule="auto"/>
        <w:ind w:firstLine="425"/>
        <w:rPr>
          <w:rFonts w:ascii="宋体" w:hAnsi="宋体" w:cs="宋体" w:hint="eastAsia"/>
          <w:sz w:val="24"/>
        </w:rPr>
      </w:pPr>
      <w:r>
        <w:rPr>
          <w:rFonts w:ascii="宋体" w:hAnsi="宋体" w:cs="宋体" w:hint="eastAsia"/>
          <w:sz w:val="24"/>
        </w:rPr>
        <w:t>1、建议书的内容格式要求，乙方所提供的建议书应按照以下内容格式进行编制：</w:t>
      </w:r>
    </w:p>
    <w:p w14:paraId="0DA1C506" w14:textId="77777777" w:rsidR="0075369D" w:rsidRDefault="00000000">
      <w:pPr>
        <w:widowControl/>
        <w:numPr>
          <w:ilvl w:val="0"/>
          <w:numId w:val="3"/>
        </w:numPr>
        <w:adjustRightInd w:val="0"/>
        <w:spacing w:line="360" w:lineRule="auto"/>
        <w:jc w:val="left"/>
        <w:textAlignment w:val="baseline"/>
        <w:rPr>
          <w:rFonts w:ascii="宋体" w:hAnsi="宋体" w:cs="宋体" w:hint="eastAsia"/>
          <w:kern w:val="0"/>
          <w:sz w:val="24"/>
          <w:lang w:bidi="en-US"/>
        </w:rPr>
      </w:pPr>
      <w:r>
        <w:rPr>
          <w:rFonts w:ascii="宋体" w:hAnsi="宋体" w:cs="宋体" w:hint="eastAsia"/>
          <w:kern w:val="0"/>
          <w:sz w:val="24"/>
          <w:lang w:bidi="en-US"/>
        </w:rPr>
        <w:t>综述</w:t>
      </w:r>
    </w:p>
    <w:p w14:paraId="12101E25" w14:textId="77777777" w:rsidR="0075369D" w:rsidRDefault="00000000">
      <w:pPr>
        <w:widowControl/>
        <w:numPr>
          <w:ilvl w:val="0"/>
          <w:numId w:val="3"/>
        </w:numPr>
        <w:adjustRightInd w:val="0"/>
        <w:spacing w:line="360" w:lineRule="auto"/>
        <w:jc w:val="left"/>
        <w:textAlignment w:val="baseline"/>
        <w:rPr>
          <w:rFonts w:ascii="宋体" w:hAnsi="宋体" w:cs="宋体" w:hint="eastAsia"/>
          <w:kern w:val="0"/>
          <w:sz w:val="24"/>
          <w:lang w:bidi="en-US"/>
        </w:rPr>
      </w:pPr>
      <w:r>
        <w:rPr>
          <w:rFonts w:ascii="宋体" w:hAnsi="宋体" w:cs="宋体" w:hint="eastAsia"/>
          <w:kern w:val="0"/>
          <w:sz w:val="24"/>
          <w:lang w:bidi="en-US"/>
        </w:rPr>
        <w:t>技术规范书应答</w:t>
      </w:r>
    </w:p>
    <w:p w14:paraId="0F61364E" w14:textId="77777777" w:rsidR="0075369D" w:rsidRDefault="00000000">
      <w:pPr>
        <w:widowControl/>
        <w:numPr>
          <w:ilvl w:val="0"/>
          <w:numId w:val="3"/>
        </w:numPr>
        <w:adjustRightInd w:val="0"/>
        <w:spacing w:line="360" w:lineRule="auto"/>
        <w:jc w:val="left"/>
        <w:textAlignment w:val="baseline"/>
        <w:rPr>
          <w:rFonts w:ascii="宋体" w:hAnsi="宋体" w:cs="宋体" w:hint="eastAsia"/>
          <w:kern w:val="0"/>
          <w:sz w:val="24"/>
          <w:lang w:bidi="en-US"/>
        </w:rPr>
      </w:pPr>
      <w:r>
        <w:rPr>
          <w:rFonts w:ascii="宋体" w:hAnsi="宋体" w:cs="宋体" w:hint="eastAsia"/>
          <w:kern w:val="0"/>
          <w:sz w:val="24"/>
          <w:lang w:bidi="en-US"/>
        </w:rPr>
        <w:t>总体方案，根据本规范书所描述的现状，提出完整技术方案；</w:t>
      </w:r>
    </w:p>
    <w:p w14:paraId="1F6CFF0B" w14:textId="77777777" w:rsidR="0075369D" w:rsidRDefault="00000000">
      <w:pPr>
        <w:widowControl/>
        <w:numPr>
          <w:ilvl w:val="0"/>
          <w:numId w:val="3"/>
        </w:numPr>
        <w:adjustRightInd w:val="0"/>
        <w:spacing w:line="360" w:lineRule="auto"/>
        <w:jc w:val="left"/>
        <w:textAlignment w:val="baseline"/>
        <w:rPr>
          <w:rFonts w:ascii="宋体" w:hAnsi="宋体" w:cs="宋体" w:hint="eastAsia"/>
          <w:kern w:val="0"/>
          <w:sz w:val="24"/>
          <w:lang w:eastAsia="en-US" w:bidi="en-US"/>
        </w:rPr>
      </w:pPr>
      <w:r>
        <w:rPr>
          <w:rFonts w:ascii="宋体" w:hAnsi="宋体" w:cs="宋体" w:hint="eastAsia"/>
          <w:kern w:val="0"/>
          <w:sz w:val="24"/>
          <w:lang w:bidi="en-US"/>
        </w:rPr>
        <w:t>工程进度安排</w:t>
      </w:r>
    </w:p>
    <w:p w14:paraId="3380FF05" w14:textId="77777777" w:rsidR="0075369D" w:rsidRDefault="00000000">
      <w:pPr>
        <w:widowControl/>
        <w:numPr>
          <w:ilvl w:val="0"/>
          <w:numId w:val="3"/>
        </w:numPr>
        <w:adjustRightInd w:val="0"/>
        <w:spacing w:line="360" w:lineRule="auto"/>
        <w:jc w:val="left"/>
        <w:textAlignment w:val="baseline"/>
        <w:rPr>
          <w:rFonts w:ascii="宋体" w:hAnsi="宋体" w:cs="宋体" w:hint="eastAsia"/>
          <w:kern w:val="0"/>
          <w:sz w:val="24"/>
          <w:lang w:bidi="en-US"/>
        </w:rPr>
      </w:pPr>
      <w:r>
        <w:rPr>
          <w:rFonts w:ascii="宋体" w:hAnsi="宋体" w:cs="宋体" w:hint="eastAsia"/>
          <w:kern w:val="0"/>
          <w:sz w:val="24"/>
          <w:lang w:bidi="en-US"/>
        </w:rPr>
        <w:t>分工界面</w:t>
      </w:r>
    </w:p>
    <w:p w14:paraId="76C43B3B" w14:textId="77777777" w:rsidR="0075369D" w:rsidRDefault="00000000">
      <w:pPr>
        <w:widowControl/>
        <w:numPr>
          <w:ilvl w:val="0"/>
          <w:numId w:val="3"/>
        </w:numPr>
        <w:adjustRightInd w:val="0"/>
        <w:spacing w:line="360" w:lineRule="auto"/>
        <w:jc w:val="left"/>
        <w:textAlignment w:val="baseline"/>
        <w:rPr>
          <w:rFonts w:ascii="宋体" w:hAnsi="宋体" w:cs="宋体" w:hint="eastAsia"/>
          <w:kern w:val="0"/>
          <w:sz w:val="24"/>
          <w:lang w:bidi="en-US"/>
        </w:rPr>
      </w:pPr>
      <w:r>
        <w:rPr>
          <w:rFonts w:ascii="宋体" w:hAnsi="宋体" w:cs="宋体" w:hint="eastAsia"/>
          <w:kern w:val="0"/>
          <w:sz w:val="24"/>
          <w:lang w:bidi="en-US"/>
        </w:rPr>
        <w:t>技术承诺</w:t>
      </w:r>
    </w:p>
    <w:p w14:paraId="61212D29" w14:textId="77777777" w:rsidR="0075369D" w:rsidRDefault="00000000">
      <w:pPr>
        <w:widowControl/>
        <w:numPr>
          <w:ilvl w:val="0"/>
          <w:numId w:val="3"/>
        </w:numPr>
        <w:adjustRightInd w:val="0"/>
        <w:spacing w:line="360" w:lineRule="auto"/>
        <w:jc w:val="left"/>
        <w:textAlignment w:val="baseline"/>
        <w:rPr>
          <w:rFonts w:ascii="宋体" w:hAnsi="宋体" w:cs="宋体" w:hint="eastAsia"/>
          <w:kern w:val="0"/>
          <w:sz w:val="24"/>
          <w:lang w:bidi="en-US"/>
        </w:rPr>
      </w:pPr>
      <w:r>
        <w:rPr>
          <w:rFonts w:ascii="宋体" w:hAnsi="宋体" w:cs="宋体" w:hint="eastAsia"/>
          <w:kern w:val="0"/>
          <w:sz w:val="24"/>
          <w:lang w:bidi="en-US"/>
        </w:rPr>
        <w:t>技术服务、支持</w:t>
      </w:r>
    </w:p>
    <w:p w14:paraId="50CE58EF" w14:textId="77777777" w:rsidR="0075369D" w:rsidRDefault="00000000">
      <w:pPr>
        <w:widowControl/>
        <w:numPr>
          <w:ilvl w:val="0"/>
          <w:numId w:val="3"/>
        </w:numPr>
        <w:adjustRightInd w:val="0"/>
        <w:spacing w:line="360" w:lineRule="auto"/>
        <w:jc w:val="left"/>
        <w:textAlignment w:val="baseline"/>
        <w:rPr>
          <w:rFonts w:ascii="宋体" w:hAnsi="宋体" w:cs="宋体" w:hint="eastAsia"/>
          <w:kern w:val="0"/>
          <w:sz w:val="24"/>
          <w:lang w:eastAsia="en-US" w:bidi="en-US"/>
        </w:rPr>
      </w:pPr>
      <w:r>
        <w:rPr>
          <w:rFonts w:ascii="宋体" w:hAnsi="宋体" w:cs="宋体" w:hint="eastAsia"/>
          <w:kern w:val="0"/>
          <w:sz w:val="24"/>
          <w:lang w:eastAsia="en-US" w:bidi="en-US"/>
        </w:rPr>
        <w:t>成功案例</w:t>
      </w:r>
    </w:p>
    <w:p w14:paraId="173696E7" w14:textId="77777777" w:rsidR="0075369D" w:rsidRDefault="0075369D">
      <w:pPr>
        <w:widowControl/>
        <w:adjustRightInd w:val="0"/>
        <w:spacing w:line="360" w:lineRule="auto"/>
        <w:jc w:val="left"/>
        <w:textAlignment w:val="baseline"/>
        <w:rPr>
          <w:rFonts w:ascii="宋体" w:hAnsi="宋体" w:cs="宋体" w:hint="eastAsia"/>
          <w:kern w:val="0"/>
          <w:sz w:val="22"/>
          <w:szCs w:val="22"/>
          <w:lang w:eastAsia="en-US" w:bidi="en-US"/>
        </w:rPr>
      </w:pPr>
    </w:p>
    <w:p w14:paraId="2447D9BC" w14:textId="77777777" w:rsidR="0075369D" w:rsidRDefault="00000000">
      <w:pPr>
        <w:keepNext/>
        <w:keepLines/>
        <w:numPr>
          <w:ilvl w:val="1"/>
          <w:numId w:val="1"/>
        </w:numPr>
        <w:spacing w:before="260" w:after="260" w:line="360" w:lineRule="auto"/>
        <w:outlineLvl w:val="1"/>
        <w:rPr>
          <w:rFonts w:ascii="宋体" w:hAnsi="宋体" w:cs="宋体" w:hint="eastAsia"/>
          <w:b/>
          <w:bCs/>
          <w:sz w:val="32"/>
          <w:szCs w:val="32"/>
        </w:rPr>
      </w:pPr>
      <w:bookmarkStart w:id="71" w:name="_Toc353368316"/>
      <w:bookmarkStart w:id="72" w:name="_Toc115580050"/>
      <w:bookmarkStart w:id="73" w:name="_Toc11125"/>
      <w:bookmarkStart w:id="74" w:name="_Toc191458816"/>
      <w:bookmarkStart w:id="75" w:name="_Toc115177155"/>
      <w:bookmarkStart w:id="76" w:name="_Toc170183521"/>
      <w:bookmarkStart w:id="77" w:name="_Toc224208622"/>
      <w:bookmarkStart w:id="78" w:name="_Toc321749396"/>
      <w:bookmarkStart w:id="79" w:name="_Toc77150449"/>
      <w:bookmarkStart w:id="80" w:name="_Toc1504351664"/>
      <w:bookmarkStart w:id="81" w:name="_Toc780895958"/>
      <w:bookmarkStart w:id="82" w:name="_Toc354588602"/>
      <w:bookmarkStart w:id="83" w:name="_Toc416783478"/>
      <w:bookmarkStart w:id="84" w:name="_Toc171386155"/>
      <w:bookmarkStart w:id="85" w:name="_Toc171326694"/>
      <w:bookmarkStart w:id="86" w:name="_Toc27887"/>
      <w:bookmarkStart w:id="87" w:name="_Toc18926"/>
      <w:bookmarkStart w:id="88" w:name="_Toc16496"/>
      <w:r>
        <w:rPr>
          <w:rFonts w:ascii="宋体" w:hAnsi="宋体" w:cs="宋体" w:hint="eastAsia"/>
          <w:b/>
          <w:bCs/>
          <w:sz w:val="32"/>
          <w:szCs w:val="32"/>
        </w:rPr>
        <w:t>适用范围</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7378D583" w14:textId="77777777" w:rsidR="0075369D" w:rsidRDefault="00000000">
      <w:pPr>
        <w:spacing w:line="360" w:lineRule="auto"/>
        <w:ind w:firstLine="425"/>
        <w:rPr>
          <w:rFonts w:ascii="宋体" w:hAnsi="宋体" w:cs="宋体" w:hint="eastAsia"/>
          <w:sz w:val="24"/>
          <w:szCs w:val="22"/>
        </w:rPr>
      </w:pPr>
      <w:r>
        <w:rPr>
          <w:rFonts w:ascii="宋体" w:hAnsi="宋体" w:cs="宋体" w:hint="eastAsia"/>
          <w:sz w:val="24"/>
          <w:szCs w:val="22"/>
        </w:rPr>
        <w:t>本规范说明适用于甲方进行采购、项目服务、维护和管理，也是本期工程在</w:t>
      </w:r>
      <w:r>
        <w:rPr>
          <w:rFonts w:ascii="宋体" w:hAnsi="宋体" w:cs="宋体" w:hint="eastAsia"/>
          <w:sz w:val="24"/>
          <w:szCs w:val="22"/>
        </w:rPr>
        <w:lastRenderedPageBreak/>
        <w:t>采购过程中对应答建议书从业务、技术、数据等方面评估的主要依据。</w:t>
      </w:r>
    </w:p>
    <w:p w14:paraId="7DA40915" w14:textId="77777777" w:rsidR="0075369D" w:rsidRDefault="00000000">
      <w:pPr>
        <w:keepNext/>
        <w:keepLines/>
        <w:numPr>
          <w:ilvl w:val="1"/>
          <w:numId w:val="1"/>
        </w:numPr>
        <w:spacing w:before="260" w:after="260" w:line="360" w:lineRule="auto"/>
        <w:outlineLvl w:val="1"/>
        <w:rPr>
          <w:rFonts w:ascii="宋体" w:hAnsi="宋体" w:cs="宋体" w:hint="eastAsia"/>
          <w:b/>
          <w:bCs/>
          <w:sz w:val="32"/>
          <w:szCs w:val="32"/>
        </w:rPr>
      </w:pPr>
      <w:bookmarkStart w:id="89" w:name="_Toc354588603"/>
      <w:bookmarkStart w:id="90" w:name="_Toc115580051"/>
      <w:bookmarkStart w:id="91" w:name="_Toc353368317"/>
      <w:bookmarkStart w:id="92" w:name="_Toc321749397"/>
      <w:bookmarkStart w:id="93" w:name="_Toc416783479"/>
      <w:bookmarkStart w:id="94" w:name="_Toc171326695"/>
      <w:bookmarkStart w:id="95" w:name="_Toc224208623"/>
      <w:bookmarkStart w:id="96" w:name="_Toc12855"/>
      <w:bookmarkStart w:id="97" w:name="_Toc115177156"/>
      <w:bookmarkStart w:id="98" w:name="_Toc1313440717"/>
      <w:bookmarkStart w:id="99" w:name="_Toc191458817"/>
      <w:bookmarkStart w:id="100" w:name="_Toc170183522"/>
      <w:bookmarkStart w:id="101" w:name="_Toc1245799289"/>
      <w:bookmarkStart w:id="102" w:name="_Toc171386156"/>
      <w:bookmarkStart w:id="103" w:name="_Toc77150450"/>
      <w:bookmarkStart w:id="104" w:name="_Toc6327"/>
      <w:bookmarkStart w:id="105" w:name="_Toc16022"/>
      <w:bookmarkStart w:id="106" w:name="_Toc6546"/>
      <w:r>
        <w:rPr>
          <w:rFonts w:ascii="宋体" w:hAnsi="宋体" w:cs="宋体" w:hint="eastAsia"/>
          <w:b/>
          <w:bCs/>
          <w:sz w:val="32"/>
          <w:szCs w:val="32"/>
        </w:rPr>
        <w:t>起草单位</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18FD6CA2" w14:textId="77777777" w:rsidR="0075369D" w:rsidRDefault="00000000">
      <w:pPr>
        <w:spacing w:line="360" w:lineRule="auto"/>
        <w:ind w:firstLine="425"/>
        <w:rPr>
          <w:rFonts w:ascii="宋体" w:hAnsi="宋体" w:cs="宋体" w:hint="eastAsia"/>
          <w:sz w:val="24"/>
          <w:szCs w:val="22"/>
        </w:rPr>
      </w:pPr>
      <w:r>
        <w:rPr>
          <w:rFonts w:ascii="宋体" w:hAnsi="宋体" w:cs="宋体" w:hint="eastAsia"/>
          <w:sz w:val="24"/>
          <w:szCs w:val="22"/>
        </w:rPr>
        <w:t>本规范的起草单位为</w:t>
      </w:r>
      <w:r>
        <w:rPr>
          <w:rFonts w:ascii="宋体" w:hAnsi="宋体" w:cs="宋体" w:hint="eastAsia"/>
          <w:sz w:val="24"/>
          <w:szCs w:val="22"/>
          <w:lang w:eastAsia="zh-Hans"/>
        </w:rPr>
        <w:t>中国移动（浙江）创新研究院有限</w:t>
      </w:r>
      <w:r>
        <w:rPr>
          <w:rFonts w:ascii="宋体" w:hAnsi="宋体" w:cs="宋体" w:hint="eastAsia"/>
          <w:sz w:val="24"/>
          <w:szCs w:val="22"/>
        </w:rPr>
        <w:t>公司。</w:t>
      </w:r>
    </w:p>
    <w:p w14:paraId="4D3D3C05" w14:textId="77777777" w:rsidR="0075369D" w:rsidRDefault="00000000">
      <w:pPr>
        <w:keepNext/>
        <w:keepLines/>
        <w:numPr>
          <w:ilvl w:val="1"/>
          <w:numId w:val="1"/>
        </w:numPr>
        <w:spacing w:before="260" w:after="260" w:line="360" w:lineRule="auto"/>
        <w:outlineLvl w:val="1"/>
        <w:rPr>
          <w:rFonts w:ascii="宋体" w:hAnsi="宋体" w:cs="宋体" w:hint="eastAsia"/>
          <w:b/>
          <w:bCs/>
          <w:sz w:val="32"/>
          <w:szCs w:val="32"/>
        </w:rPr>
      </w:pPr>
      <w:bookmarkStart w:id="107" w:name="_Toc115177157"/>
      <w:bookmarkStart w:id="108" w:name="_Toc353368318"/>
      <w:bookmarkStart w:id="109" w:name="_Toc171386157"/>
      <w:bookmarkStart w:id="110" w:name="_Toc77150451"/>
      <w:bookmarkStart w:id="111" w:name="_Toc224208624"/>
      <w:bookmarkStart w:id="112" w:name="_Toc416783480"/>
      <w:bookmarkStart w:id="113" w:name="_Toc354588604"/>
      <w:bookmarkStart w:id="114" w:name="_Toc191458818"/>
      <w:bookmarkStart w:id="115" w:name="_Toc321749398"/>
      <w:bookmarkStart w:id="116" w:name="_Toc183091973"/>
      <w:bookmarkStart w:id="117" w:name="_Toc115580052"/>
      <w:bookmarkStart w:id="118" w:name="_Toc171326696"/>
      <w:bookmarkStart w:id="119" w:name="_Toc170183523"/>
      <w:bookmarkStart w:id="120" w:name="_Toc24319"/>
      <w:bookmarkStart w:id="121" w:name="_Toc1013723106"/>
      <w:bookmarkStart w:id="122" w:name="_Toc20570"/>
      <w:bookmarkStart w:id="123" w:name="_Toc6895"/>
      <w:bookmarkStart w:id="124" w:name="_Toc25478"/>
      <w:r>
        <w:rPr>
          <w:rFonts w:ascii="宋体" w:hAnsi="宋体" w:cs="宋体" w:hint="eastAsia"/>
          <w:b/>
          <w:bCs/>
          <w:sz w:val="32"/>
          <w:szCs w:val="32"/>
        </w:rPr>
        <w:t>解释权</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41347C5C" w14:textId="77777777" w:rsidR="0075369D" w:rsidRDefault="00000000">
      <w:pPr>
        <w:spacing w:line="360" w:lineRule="auto"/>
        <w:ind w:firstLine="425"/>
        <w:rPr>
          <w:rFonts w:ascii="宋体" w:hAnsi="宋体" w:cs="宋体" w:hint="eastAsia"/>
          <w:sz w:val="24"/>
          <w:szCs w:val="22"/>
        </w:rPr>
      </w:pPr>
      <w:r>
        <w:rPr>
          <w:rFonts w:ascii="宋体" w:hAnsi="宋体" w:cs="宋体" w:hint="eastAsia"/>
          <w:sz w:val="24"/>
          <w:szCs w:val="22"/>
        </w:rPr>
        <w:t>本规范的解释权和修改权属于</w:t>
      </w:r>
      <w:r>
        <w:rPr>
          <w:rFonts w:ascii="宋体" w:hAnsi="宋体" w:cs="宋体" w:hint="eastAsia"/>
          <w:sz w:val="24"/>
          <w:szCs w:val="22"/>
          <w:lang w:eastAsia="zh-Hans"/>
        </w:rPr>
        <w:t>中国移动（浙江）创新研究院有限</w:t>
      </w:r>
      <w:r>
        <w:rPr>
          <w:rFonts w:ascii="宋体" w:hAnsi="宋体" w:cs="宋体" w:hint="eastAsia"/>
          <w:sz w:val="24"/>
          <w:szCs w:val="22"/>
        </w:rPr>
        <w:t>公司。</w:t>
      </w:r>
    </w:p>
    <w:p w14:paraId="1593A885" w14:textId="77777777" w:rsidR="0075369D" w:rsidRDefault="00000000">
      <w:pPr>
        <w:keepNext/>
        <w:keepLines/>
        <w:numPr>
          <w:ilvl w:val="1"/>
          <w:numId w:val="1"/>
        </w:numPr>
        <w:spacing w:before="260" w:after="260" w:line="360" w:lineRule="auto"/>
        <w:outlineLvl w:val="1"/>
        <w:rPr>
          <w:rFonts w:ascii="宋体" w:hAnsi="宋体" w:cs="宋体" w:hint="eastAsia"/>
          <w:b/>
          <w:bCs/>
          <w:sz w:val="32"/>
          <w:szCs w:val="32"/>
        </w:rPr>
      </w:pPr>
      <w:bookmarkStart w:id="125" w:name="_Toc224208625"/>
      <w:bookmarkStart w:id="126" w:name="_Toc321749399"/>
      <w:bookmarkStart w:id="127" w:name="_Toc171386158"/>
      <w:bookmarkStart w:id="128" w:name="_Toc416783481"/>
      <w:bookmarkStart w:id="129" w:name="_Toc1656470891"/>
      <w:bookmarkStart w:id="130" w:name="_Toc171326697"/>
      <w:bookmarkStart w:id="131" w:name="_Toc115177158"/>
      <w:bookmarkStart w:id="132" w:name="_Toc353368319"/>
      <w:bookmarkStart w:id="133" w:name="_Toc115580053"/>
      <w:bookmarkStart w:id="134" w:name="_Toc191458819"/>
      <w:bookmarkStart w:id="135" w:name="_Toc354588605"/>
      <w:bookmarkStart w:id="136" w:name="_Toc2030207707"/>
      <w:bookmarkStart w:id="137" w:name="_Toc170183524"/>
      <w:bookmarkStart w:id="138" w:name="_Toc11820"/>
      <w:bookmarkStart w:id="139" w:name="_Toc77150452"/>
      <w:bookmarkStart w:id="140" w:name="_Toc31409"/>
      <w:bookmarkStart w:id="141" w:name="_Toc19938"/>
      <w:bookmarkStart w:id="142" w:name="_Toc26704"/>
      <w:r>
        <w:rPr>
          <w:rFonts w:ascii="宋体" w:hAnsi="宋体" w:cs="宋体" w:hint="eastAsia"/>
          <w:b/>
          <w:bCs/>
          <w:sz w:val="32"/>
          <w:szCs w:val="32"/>
        </w:rPr>
        <w:t>版权</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5CB4BAA6" w14:textId="77777777" w:rsidR="0075369D" w:rsidRDefault="00000000">
      <w:pPr>
        <w:spacing w:line="360" w:lineRule="auto"/>
        <w:ind w:firstLine="420"/>
        <w:rPr>
          <w:rFonts w:ascii="宋体" w:hAnsi="宋体" w:cs="宋体" w:hint="eastAsia"/>
          <w:sz w:val="24"/>
          <w:szCs w:val="22"/>
        </w:rPr>
      </w:pPr>
      <w:r>
        <w:rPr>
          <w:rFonts w:ascii="宋体" w:hAnsi="宋体" w:cs="宋体" w:hint="eastAsia"/>
          <w:sz w:val="24"/>
          <w:szCs w:val="22"/>
        </w:rPr>
        <w:t>本规范的版权属于</w:t>
      </w:r>
      <w:r>
        <w:rPr>
          <w:rFonts w:ascii="宋体" w:hAnsi="宋体" w:cs="宋体" w:hint="eastAsia"/>
          <w:sz w:val="24"/>
          <w:szCs w:val="22"/>
          <w:lang w:eastAsia="zh-Hans"/>
        </w:rPr>
        <w:t>中国移动（浙江）创新研究院有限</w:t>
      </w:r>
      <w:r>
        <w:rPr>
          <w:rFonts w:ascii="宋体" w:hAnsi="宋体" w:cs="宋体" w:hint="eastAsia"/>
          <w:sz w:val="24"/>
          <w:szCs w:val="22"/>
        </w:rPr>
        <w:t>公司。</w:t>
      </w:r>
    </w:p>
    <w:p w14:paraId="1C696552" w14:textId="77777777" w:rsidR="0075369D" w:rsidRDefault="00000000">
      <w:pPr>
        <w:keepNext/>
        <w:keepLines/>
        <w:numPr>
          <w:ilvl w:val="0"/>
          <w:numId w:val="1"/>
        </w:numPr>
        <w:spacing w:before="340" w:after="330" w:line="360" w:lineRule="auto"/>
        <w:outlineLvl w:val="0"/>
        <w:rPr>
          <w:rFonts w:ascii="宋体" w:hAnsi="宋体" w:cs="宋体" w:hint="eastAsia"/>
          <w:b/>
          <w:bCs/>
          <w:kern w:val="44"/>
          <w:sz w:val="44"/>
          <w:szCs w:val="44"/>
        </w:rPr>
      </w:pPr>
      <w:bookmarkStart w:id="143" w:name="_Toc354588623"/>
      <w:bookmarkStart w:id="144" w:name="_Toc13830"/>
      <w:bookmarkStart w:id="145" w:name="_Toc224208626"/>
      <w:bookmarkStart w:id="146" w:name="_Toc321749414"/>
      <w:bookmarkStart w:id="147" w:name="_Toc328265329"/>
      <w:bookmarkStart w:id="148" w:name="_Toc353368337"/>
      <w:bookmarkStart w:id="149" w:name="_Toc77150453"/>
      <w:bookmarkStart w:id="150" w:name="_Toc416783496"/>
      <w:bookmarkStart w:id="151" w:name="_Toc333264366"/>
      <w:bookmarkStart w:id="152" w:name="_Toc16732"/>
      <w:bookmarkStart w:id="153" w:name="_Toc14403"/>
      <w:bookmarkStart w:id="154" w:name="_Toc18929"/>
      <w:r>
        <w:rPr>
          <w:rFonts w:ascii="宋体" w:hAnsi="宋体" w:cs="宋体" w:hint="eastAsia"/>
          <w:b/>
          <w:bCs/>
          <w:kern w:val="44"/>
          <w:sz w:val="44"/>
          <w:szCs w:val="44"/>
        </w:rPr>
        <w:t>技术规范</w:t>
      </w:r>
      <w:bookmarkEnd w:id="143"/>
      <w:bookmarkEnd w:id="144"/>
      <w:bookmarkEnd w:id="145"/>
      <w:bookmarkEnd w:id="146"/>
      <w:bookmarkEnd w:id="147"/>
      <w:bookmarkEnd w:id="148"/>
      <w:bookmarkEnd w:id="149"/>
      <w:bookmarkEnd w:id="150"/>
      <w:bookmarkEnd w:id="151"/>
      <w:bookmarkEnd w:id="152"/>
      <w:bookmarkEnd w:id="153"/>
      <w:bookmarkEnd w:id="154"/>
    </w:p>
    <w:p w14:paraId="1260CDAA" w14:textId="77777777" w:rsidR="0075369D" w:rsidRDefault="00000000">
      <w:pPr>
        <w:keepNext/>
        <w:keepLines/>
        <w:numPr>
          <w:ilvl w:val="1"/>
          <w:numId w:val="1"/>
        </w:numPr>
        <w:spacing w:before="260" w:after="260" w:line="360" w:lineRule="auto"/>
        <w:outlineLvl w:val="1"/>
        <w:rPr>
          <w:rFonts w:ascii="宋体" w:hAnsi="宋体" w:cs="宋体" w:hint="eastAsia"/>
          <w:b/>
          <w:bCs/>
          <w:sz w:val="32"/>
          <w:szCs w:val="32"/>
        </w:rPr>
      </w:pPr>
      <w:bookmarkStart w:id="155" w:name="_Toc536847986"/>
      <w:bookmarkStart w:id="156" w:name="_Toc77150454"/>
      <w:bookmarkStart w:id="157" w:name="_Toc269895360"/>
      <w:bookmarkStart w:id="158" w:name="_Toc7300"/>
      <w:bookmarkStart w:id="159" w:name="_Toc224208627"/>
      <w:bookmarkStart w:id="160" w:name="_Toc416783497"/>
      <w:bookmarkStart w:id="161" w:name="_Toc12280"/>
      <w:bookmarkStart w:id="162" w:name="_Toc7652"/>
      <w:bookmarkStart w:id="163" w:name="_Toc19774"/>
      <w:r>
        <w:rPr>
          <w:rFonts w:ascii="宋体" w:hAnsi="宋体" w:cs="宋体" w:hint="eastAsia"/>
          <w:b/>
          <w:bCs/>
          <w:sz w:val="32"/>
          <w:szCs w:val="32"/>
        </w:rPr>
        <w:t>背景介绍</w:t>
      </w:r>
      <w:bookmarkEnd w:id="155"/>
      <w:bookmarkEnd w:id="156"/>
      <w:bookmarkEnd w:id="157"/>
      <w:bookmarkEnd w:id="158"/>
      <w:bookmarkEnd w:id="159"/>
      <w:bookmarkEnd w:id="160"/>
      <w:bookmarkEnd w:id="161"/>
      <w:bookmarkEnd w:id="162"/>
      <w:bookmarkEnd w:id="163"/>
    </w:p>
    <w:p w14:paraId="26BEA230" w14:textId="77777777" w:rsidR="0075369D" w:rsidRDefault="00000000">
      <w:pPr>
        <w:spacing w:before="100" w:beforeAutospacing="1" w:line="360" w:lineRule="auto"/>
        <w:ind w:firstLineChars="200" w:firstLine="480"/>
        <w:rPr>
          <w:rFonts w:ascii="宋体" w:hAnsi="宋体" w:cs="宋体" w:hint="eastAsia"/>
          <w:bCs/>
          <w:sz w:val="24"/>
          <w:lang w:eastAsia="zh-Hans"/>
        </w:rPr>
      </w:pPr>
      <w:r>
        <w:rPr>
          <w:rFonts w:ascii="宋体" w:hAnsi="宋体" w:cs="宋体" w:hint="eastAsia"/>
          <w:bCs/>
          <w:sz w:val="24"/>
          <w:lang w:eastAsia="zh-Hans"/>
        </w:rPr>
        <w:t>为持续贯彻落实两部委、集团公司关于做好网络安全防护与运营的相关工作要求，需</w:t>
      </w:r>
      <w:r>
        <w:rPr>
          <w:rFonts w:ascii="宋体" w:hAnsi="宋体" w:cs="宋体" w:hint="eastAsia"/>
          <w:bCs/>
          <w:sz w:val="24"/>
        </w:rPr>
        <w:t>持续</w:t>
      </w:r>
      <w:r>
        <w:rPr>
          <w:rFonts w:ascii="宋体" w:hAnsi="宋体" w:cs="宋体" w:hint="eastAsia"/>
          <w:bCs/>
          <w:sz w:val="24"/>
          <w:lang w:eastAsia="zh-Hans"/>
        </w:rPr>
        <w:t>加强和规范网络安全管理工作，完善网络安全运营体系，提升整体网络安全水平。</w:t>
      </w:r>
    </w:p>
    <w:p w14:paraId="3817FE12" w14:textId="77777777" w:rsidR="0075369D" w:rsidRDefault="00000000">
      <w:pPr>
        <w:widowControl/>
        <w:spacing w:line="360" w:lineRule="auto"/>
        <w:ind w:firstLineChars="200" w:firstLine="480"/>
        <w:jc w:val="left"/>
        <w:rPr>
          <w:rFonts w:ascii="宋体" w:hAnsi="宋体" w:cs="宋体" w:hint="eastAsia"/>
          <w:bCs/>
          <w:sz w:val="24"/>
          <w:lang w:eastAsia="zh-Hans"/>
        </w:rPr>
      </w:pPr>
      <w:r>
        <w:rPr>
          <w:rFonts w:ascii="宋体" w:hAnsi="宋体" w:cs="宋体" w:hint="eastAsia"/>
          <w:bCs/>
          <w:sz w:val="24"/>
          <w:lang w:eastAsia="zh-Hans"/>
        </w:rPr>
        <w:t>按照工信部2026年基础电信企业省级公司网络与信息安全工作考核要点以及公安部HW、省HW、管局HW、春耕行动等相关活动工作要求，需确保创新院业务的连续性，做好应用安全评估、重大活动安全保障、安全事件监测分析、应急响应处置等日常考核、迎检、HW等基础工作。另外，随着大语言模型、AI应用快速普及带来的新型资产（如AI智能体、大模型等）不断涌现，以及外部攻击手段不断的演进，依据工信部《通信网络安全防护管理规定》的要求，急需增强针对暴露资产和新型资产的梳理与安全防护能力，需加强投入的范围包括资产风险管理、安全风险评估、应急响应处置、安全事件监测、攻防演练、网络安全管理与运营支撑</w:t>
      </w:r>
      <w:r>
        <w:rPr>
          <w:rFonts w:ascii="宋体" w:hAnsi="宋体" w:cs="宋体" w:hint="eastAsia"/>
          <w:bCs/>
          <w:sz w:val="24"/>
        </w:rPr>
        <w:t>等</w:t>
      </w:r>
      <w:r>
        <w:rPr>
          <w:rFonts w:ascii="宋体" w:hAnsi="宋体" w:cs="宋体" w:hint="eastAsia"/>
          <w:bCs/>
          <w:sz w:val="24"/>
          <w:lang w:eastAsia="zh-Hans"/>
        </w:rPr>
        <w:t>相关工作。</w:t>
      </w:r>
    </w:p>
    <w:p w14:paraId="722907E2" w14:textId="77777777" w:rsidR="0075369D" w:rsidRDefault="0075369D">
      <w:pPr>
        <w:pStyle w:val="af5"/>
        <w:spacing w:line="360" w:lineRule="auto"/>
        <w:ind w:firstLine="240"/>
        <w:rPr>
          <w:rFonts w:hint="eastAsia"/>
          <w:lang w:eastAsia="zh-CN"/>
        </w:rPr>
      </w:pPr>
    </w:p>
    <w:p w14:paraId="2B206FE6" w14:textId="77777777" w:rsidR="0075369D" w:rsidRDefault="00000000">
      <w:pPr>
        <w:keepNext/>
        <w:keepLines/>
        <w:numPr>
          <w:ilvl w:val="1"/>
          <w:numId w:val="1"/>
        </w:numPr>
        <w:spacing w:before="260" w:after="260" w:line="360" w:lineRule="auto"/>
        <w:outlineLvl w:val="1"/>
        <w:rPr>
          <w:rFonts w:ascii="宋体" w:hAnsi="宋体" w:cs="宋体" w:hint="eastAsia"/>
          <w:b/>
          <w:bCs/>
          <w:sz w:val="32"/>
          <w:szCs w:val="32"/>
        </w:rPr>
      </w:pPr>
      <w:bookmarkStart w:id="164" w:name="_Toc458372604"/>
      <w:bookmarkStart w:id="165" w:name="_Toc458372607"/>
      <w:bookmarkStart w:id="166" w:name="_Toc458414798"/>
      <w:bookmarkStart w:id="167" w:name="_Toc458372605"/>
      <w:bookmarkStart w:id="168" w:name="_Toc458372606"/>
      <w:bookmarkStart w:id="169" w:name="_Toc458414796"/>
      <w:bookmarkStart w:id="170" w:name="_Toc458414799"/>
      <w:bookmarkStart w:id="171" w:name="_Toc458414797"/>
      <w:bookmarkStart w:id="172" w:name="_Toc645853056"/>
      <w:bookmarkStart w:id="173" w:name="_Toc77150455"/>
      <w:bookmarkStart w:id="174" w:name="_Toc416783499"/>
      <w:bookmarkStart w:id="175" w:name="_Toc1225299655"/>
      <w:bookmarkStart w:id="176" w:name="_Toc224208628"/>
      <w:bookmarkStart w:id="177" w:name="_Toc5209"/>
      <w:bookmarkStart w:id="178" w:name="_Toc8509"/>
      <w:bookmarkStart w:id="179" w:name="_Toc13155"/>
      <w:bookmarkStart w:id="180" w:name="_Toc8761"/>
      <w:bookmarkEnd w:id="164"/>
      <w:bookmarkEnd w:id="165"/>
      <w:bookmarkEnd w:id="166"/>
      <w:bookmarkEnd w:id="167"/>
      <w:bookmarkEnd w:id="168"/>
      <w:bookmarkEnd w:id="169"/>
      <w:bookmarkEnd w:id="170"/>
      <w:bookmarkEnd w:id="171"/>
      <w:r>
        <w:rPr>
          <w:rFonts w:ascii="宋体" w:hAnsi="宋体" w:cs="宋体" w:hint="eastAsia"/>
          <w:b/>
          <w:bCs/>
          <w:sz w:val="32"/>
          <w:szCs w:val="32"/>
        </w:rPr>
        <w:lastRenderedPageBreak/>
        <w:t>服务内容</w:t>
      </w:r>
      <w:bookmarkEnd w:id="172"/>
      <w:bookmarkEnd w:id="173"/>
      <w:bookmarkEnd w:id="174"/>
      <w:bookmarkEnd w:id="175"/>
      <w:r>
        <w:rPr>
          <w:rFonts w:ascii="宋体" w:hAnsi="宋体" w:cs="宋体" w:hint="eastAsia"/>
          <w:b/>
          <w:bCs/>
          <w:sz w:val="32"/>
          <w:szCs w:val="32"/>
          <w:lang w:eastAsia="zh-Hans"/>
        </w:rPr>
        <w:t>及工作量</w:t>
      </w:r>
      <w:bookmarkEnd w:id="176"/>
      <w:bookmarkEnd w:id="177"/>
      <w:bookmarkEnd w:id="178"/>
      <w:bookmarkEnd w:id="179"/>
      <w:bookmarkEnd w:id="180"/>
    </w:p>
    <w:p w14:paraId="16719BB4" w14:textId="77777777" w:rsidR="0075369D" w:rsidRDefault="00000000">
      <w:pPr>
        <w:spacing w:line="360" w:lineRule="auto"/>
        <w:outlineLvl w:val="2"/>
        <w:rPr>
          <w:rFonts w:ascii="宋体" w:hAnsi="宋体" w:cs="宋体" w:hint="eastAsia"/>
          <w:b/>
          <w:sz w:val="24"/>
          <w:szCs w:val="22"/>
        </w:rPr>
      </w:pPr>
      <w:bookmarkStart w:id="181" w:name="_Toc224208629"/>
      <w:bookmarkStart w:id="182" w:name="_Toc31386"/>
      <w:bookmarkStart w:id="183" w:name="_Toc135382043"/>
      <w:bookmarkStart w:id="184" w:name="_Toc18255"/>
      <w:bookmarkStart w:id="185" w:name="_Toc16822"/>
      <w:bookmarkStart w:id="186" w:name="_Toc16464"/>
      <w:r>
        <w:rPr>
          <w:rFonts w:ascii="宋体" w:hAnsi="宋体" w:cs="宋体" w:hint="eastAsia"/>
          <w:b/>
          <w:sz w:val="24"/>
          <w:szCs w:val="22"/>
        </w:rPr>
        <w:t>2.2.1服务内容</w:t>
      </w:r>
      <w:bookmarkEnd w:id="181"/>
      <w:bookmarkEnd w:id="182"/>
      <w:bookmarkEnd w:id="183"/>
      <w:bookmarkEnd w:id="184"/>
      <w:bookmarkEnd w:id="185"/>
      <w:bookmarkEnd w:id="186"/>
    </w:p>
    <w:p w14:paraId="1F6F175E" w14:textId="77777777" w:rsidR="0075369D" w:rsidRDefault="00000000">
      <w:pPr>
        <w:pStyle w:val="afd"/>
        <w:numPr>
          <w:ilvl w:val="0"/>
          <w:numId w:val="4"/>
        </w:numPr>
        <w:adjustRightInd w:val="0"/>
        <w:spacing w:line="360" w:lineRule="auto"/>
        <w:ind w:firstLine="482"/>
        <w:outlineLvl w:val="3"/>
        <w:rPr>
          <w:rFonts w:ascii="宋体" w:hAnsi="宋体" w:hint="eastAsia"/>
          <w:b/>
          <w:color w:val="000000" w:themeColor="text1"/>
          <w:sz w:val="24"/>
        </w:rPr>
      </w:pPr>
      <w:r>
        <w:rPr>
          <w:rFonts w:ascii="宋体" w:hAnsi="宋体" w:hint="eastAsia"/>
          <w:b/>
          <w:color w:val="000000" w:themeColor="text1"/>
          <w:sz w:val="24"/>
        </w:rPr>
        <w:t>资产风险管理</w:t>
      </w:r>
    </w:p>
    <w:p w14:paraId="03E035DD" w14:textId="77777777" w:rsidR="0075369D" w:rsidRDefault="00000000">
      <w:pPr>
        <w:spacing w:line="360" w:lineRule="auto"/>
        <w:ind w:firstLineChars="200" w:firstLine="480"/>
        <w:rPr>
          <w:rFonts w:ascii="宋体" w:hAnsi="宋体" w:hint="eastAsia"/>
          <w:color w:val="000000" w:themeColor="text1"/>
          <w:sz w:val="24"/>
        </w:rPr>
      </w:pPr>
      <w:r>
        <w:rPr>
          <w:rFonts w:ascii="宋体" w:hAnsi="宋体" w:hint="eastAsia"/>
          <w:color w:val="000000" w:themeColor="text1"/>
          <w:sz w:val="24"/>
        </w:rPr>
        <w:t>开展互联网暴露面资产安全管理、资产属性新增或变更相关的资产台账运营、渗透信息运营、安全评估漏洞台账运营等。</w:t>
      </w:r>
    </w:p>
    <w:p w14:paraId="4B7F020D" w14:textId="77777777" w:rsidR="0075369D" w:rsidRDefault="00000000">
      <w:pPr>
        <w:spacing w:line="360" w:lineRule="auto"/>
        <w:ind w:firstLineChars="200" w:firstLine="480"/>
        <w:rPr>
          <w:rFonts w:ascii="宋体" w:hAnsi="宋体" w:hint="eastAsia"/>
          <w:color w:val="000000" w:themeColor="text1"/>
          <w:sz w:val="24"/>
        </w:rPr>
      </w:pPr>
      <w:r>
        <w:rPr>
          <w:rFonts w:ascii="宋体" w:hAnsi="宋体" w:hint="eastAsia"/>
          <w:color w:val="000000" w:themeColor="text1"/>
          <w:sz w:val="24"/>
        </w:rPr>
        <w:t>1）资产管理：针对IT云、移动云、边缘云全网开展相应的资产梳理、资产清单上报等工作；定期梳理全量资产，形成数据资产台账清单，按照集团格式要求提供资产相关信息，资产发生变更时及时更新数据资产清单。</w:t>
      </w:r>
    </w:p>
    <w:p w14:paraId="627E9159" w14:textId="77777777" w:rsidR="0075369D" w:rsidRDefault="00000000">
      <w:pPr>
        <w:spacing w:line="360" w:lineRule="auto"/>
        <w:ind w:firstLineChars="200" w:firstLine="480"/>
        <w:rPr>
          <w:rFonts w:ascii="宋体" w:hAnsi="宋体" w:hint="eastAsia"/>
          <w:color w:val="000000" w:themeColor="text1"/>
          <w:sz w:val="24"/>
        </w:rPr>
      </w:pPr>
      <w:r>
        <w:rPr>
          <w:rFonts w:ascii="宋体" w:hAnsi="宋体" w:hint="eastAsia"/>
          <w:color w:val="000000" w:themeColor="text1"/>
          <w:sz w:val="24"/>
        </w:rPr>
        <w:t>2）暴露面管理：开展互联网暴露面风险管理，定期开展暴露面资产稽核发现，针对公网IP开展端口扫描、网站检测和资产认领跟踪，主动发现暴露面自有资产与新增资产；对下线的暴露面资产开展下线清退工作，确保彻底下线；开展暴露面端口风险管理，建立暴露面端口资产台账，每日开展暴露面端口开放稽核，发现新增端口及指纹变更及时跟踪处置。提供暴露面风险管理工具支撑，提升资产管理效率。</w:t>
      </w:r>
    </w:p>
    <w:p w14:paraId="2C9B015D" w14:textId="77777777" w:rsidR="0075369D" w:rsidRDefault="00000000">
      <w:pPr>
        <w:spacing w:line="360" w:lineRule="auto"/>
        <w:ind w:firstLineChars="200" w:firstLine="480"/>
        <w:rPr>
          <w:rFonts w:ascii="宋体" w:hAnsi="宋体" w:hint="eastAsia"/>
          <w:color w:val="000000" w:themeColor="text1"/>
          <w:sz w:val="24"/>
        </w:rPr>
      </w:pPr>
      <w:r>
        <w:rPr>
          <w:rFonts w:ascii="宋体" w:hAnsi="宋体" w:hint="eastAsia"/>
          <w:color w:val="000000" w:themeColor="text1"/>
          <w:sz w:val="24"/>
        </w:rPr>
        <w:t>3）漏洞管理：定期对漏洞台账进行审查，对开展常规评估、专项评估、外部门通报的漏洞进行闭环处理，确保台账中的漏洞信息准确无误；对于已经整改完成的漏洞，及时更新台账中的状态和整改进展。</w:t>
      </w:r>
    </w:p>
    <w:p w14:paraId="51901431" w14:textId="77777777" w:rsidR="0075369D" w:rsidRDefault="0075369D">
      <w:pPr>
        <w:pStyle w:val="af5"/>
        <w:spacing w:line="360" w:lineRule="auto"/>
        <w:ind w:firstLine="240"/>
        <w:rPr>
          <w:rFonts w:hint="eastAsia"/>
          <w:lang w:eastAsia="zh-CN"/>
        </w:rPr>
      </w:pPr>
    </w:p>
    <w:p w14:paraId="1F63799D" w14:textId="77777777" w:rsidR="0075369D" w:rsidRDefault="00000000">
      <w:pPr>
        <w:pStyle w:val="afd"/>
        <w:numPr>
          <w:ilvl w:val="0"/>
          <w:numId w:val="4"/>
        </w:numPr>
        <w:adjustRightInd w:val="0"/>
        <w:spacing w:line="360" w:lineRule="auto"/>
        <w:ind w:firstLine="482"/>
        <w:outlineLvl w:val="3"/>
        <w:rPr>
          <w:rFonts w:ascii="宋体" w:hAnsi="宋体" w:hint="eastAsia"/>
          <w:b/>
          <w:color w:val="000000" w:themeColor="text1"/>
          <w:sz w:val="24"/>
        </w:rPr>
      </w:pPr>
      <w:r>
        <w:rPr>
          <w:rFonts w:ascii="宋体" w:hAnsi="宋体" w:hint="eastAsia"/>
          <w:b/>
          <w:color w:val="000000" w:themeColor="text1"/>
          <w:sz w:val="24"/>
        </w:rPr>
        <w:t>网络安全风险评估</w:t>
      </w:r>
    </w:p>
    <w:p w14:paraId="463D3F65" w14:textId="77777777" w:rsidR="0075369D" w:rsidRDefault="00000000">
      <w:pPr>
        <w:spacing w:line="360" w:lineRule="auto"/>
        <w:ind w:firstLineChars="200" w:firstLine="480"/>
        <w:rPr>
          <w:rFonts w:ascii="宋体" w:hAnsi="宋体" w:hint="eastAsia"/>
          <w:color w:val="000000" w:themeColor="text1"/>
          <w:sz w:val="24"/>
        </w:rPr>
      </w:pPr>
      <w:r>
        <w:rPr>
          <w:rFonts w:ascii="宋体" w:hAnsi="宋体" w:hint="eastAsia"/>
          <w:color w:val="000000" w:themeColor="text1"/>
          <w:sz w:val="24"/>
        </w:rPr>
        <w:t>1）代码审计：从代码层面对系统进行白盒审计，对整体源代码采用代码扫描和人工审查以及黑盒测试确认相结合的方式，</w:t>
      </w:r>
      <w:r>
        <w:rPr>
          <w:rFonts w:ascii="宋体" w:hAnsi="宋体"/>
          <w:color w:val="000000" w:themeColor="text1"/>
          <w:sz w:val="24"/>
        </w:rPr>
        <w:t>对程序源代码逐条进行检查和分析，发现这些源代码缺陷引发的安全漏洞，并提供代码修订措施和建议</w:t>
      </w:r>
      <w:r>
        <w:rPr>
          <w:rFonts w:ascii="宋体" w:hAnsi="宋体" w:hint="eastAsia"/>
          <w:color w:val="000000" w:themeColor="text1"/>
          <w:sz w:val="24"/>
        </w:rPr>
        <w:t>发现系统存在的安全漏洞，输出《源代码审计报告》。</w:t>
      </w:r>
    </w:p>
    <w:p w14:paraId="36B5EAD8" w14:textId="77777777" w:rsidR="0075369D" w:rsidRDefault="00000000">
      <w:pPr>
        <w:spacing w:line="360" w:lineRule="auto"/>
        <w:ind w:firstLineChars="200" w:firstLine="480"/>
        <w:rPr>
          <w:rFonts w:ascii="宋体" w:hAnsi="宋体" w:hint="eastAsia"/>
          <w:color w:val="000000" w:themeColor="text1"/>
          <w:sz w:val="24"/>
        </w:rPr>
      </w:pPr>
      <w:r>
        <w:rPr>
          <w:rFonts w:ascii="宋体" w:hAnsi="宋体" w:hint="eastAsia"/>
          <w:color w:val="000000" w:themeColor="text1"/>
          <w:sz w:val="24"/>
        </w:rPr>
        <w:t>2）主机风险评估：对甲方内网主机开展例行安全扫描、对扫描出漏洞进行漏洞验证，确认漏洞是否存在；对例行扫描、渗透测试、上级单位下发等发现的漏洞进行数据分析，发现当前存在的安全问题，并提出整改加固方案；采用特征码及shellcode等相结合的检测方法，对主机系统、WEB系统定期开展木马检测，对检测发现木马开展跟踪溯源分析。</w:t>
      </w:r>
    </w:p>
    <w:p w14:paraId="7BFF428C" w14:textId="77777777" w:rsidR="0075369D" w:rsidRDefault="00000000">
      <w:pPr>
        <w:spacing w:line="360" w:lineRule="auto"/>
        <w:ind w:firstLineChars="200" w:firstLine="480"/>
        <w:rPr>
          <w:rFonts w:ascii="宋体" w:hAnsi="宋体" w:hint="eastAsia"/>
          <w:color w:val="000000" w:themeColor="text1"/>
          <w:sz w:val="24"/>
        </w:rPr>
      </w:pPr>
      <w:r>
        <w:rPr>
          <w:rFonts w:ascii="宋体" w:hAnsi="宋体" w:hint="eastAsia"/>
          <w:color w:val="000000" w:themeColor="text1"/>
          <w:sz w:val="24"/>
        </w:rPr>
        <w:t>3）应用安全评估：负责新业务、新项目、新增暴露面系统、新增大模型智</w:t>
      </w:r>
      <w:r>
        <w:rPr>
          <w:rFonts w:ascii="宋体" w:hAnsi="宋体" w:hint="eastAsia"/>
          <w:color w:val="000000" w:themeColor="text1"/>
          <w:sz w:val="24"/>
        </w:rPr>
        <w:lastRenderedPageBreak/>
        <w:t>能体应用的安全评估服务，出具安全自评估报告，做好业务上线期间的安全评估、渗透和漏洞加固复核等工作，做好新上线业务的安全检查和漏洞闭环支撑工作。</w:t>
      </w:r>
    </w:p>
    <w:p w14:paraId="0AA8EC26" w14:textId="77777777" w:rsidR="0075369D" w:rsidRDefault="00000000">
      <w:pPr>
        <w:spacing w:line="360" w:lineRule="auto"/>
        <w:ind w:firstLineChars="200" w:firstLine="480"/>
        <w:rPr>
          <w:rFonts w:ascii="宋体" w:hAnsi="宋体" w:hint="eastAsia"/>
          <w:color w:val="000000" w:themeColor="text1"/>
          <w:sz w:val="24"/>
        </w:rPr>
      </w:pPr>
      <w:r>
        <w:rPr>
          <w:rFonts w:ascii="宋体" w:hAnsi="宋体" w:hint="eastAsia"/>
          <w:color w:val="000000" w:themeColor="text1"/>
          <w:sz w:val="24"/>
        </w:rPr>
        <w:t>4）开源组件安全评估：建立相应的第三方组件全生命周期管理体系，对第三方组件进行漏洞检测、修复、报告、跟踪，及时根据官方漏洞修复方案进行漏洞修复。系统上线前,对漏洞检测结果、修复方案、修复结果、未修复原因等信息进行汇总整理，方便后续对第三方组件进行全生命周期管理。</w:t>
      </w:r>
    </w:p>
    <w:p w14:paraId="0D7827E1" w14:textId="77777777" w:rsidR="0075369D" w:rsidRDefault="00000000">
      <w:pPr>
        <w:spacing w:line="360" w:lineRule="auto"/>
        <w:ind w:firstLineChars="200" w:firstLine="480"/>
        <w:rPr>
          <w:rFonts w:ascii="宋体" w:hAnsi="宋体" w:hint="eastAsia"/>
          <w:bCs/>
          <w:sz w:val="24"/>
        </w:rPr>
      </w:pPr>
      <w:r>
        <w:rPr>
          <w:rFonts w:ascii="宋体" w:hAnsi="宋体" w:hint="eastAsia"/>
          <w:color w:val="000000" w:themeColor="text1"/>
          <w:sz w:val="24"/>
        </w:rPr>
        <w:t>5）办公终端风险评估：对甲方办公网终端开展例行端口扫描和安全扫描，对扫描发现的端口和漏洞进行漏洞验证；对例行扫描、渗透测试、上级单位下发等多渠道发现的漏洞开展数据分析，梳理当前存在的安全问题，并提出整改加固方案；采用特征码与 shellcode 检测相结合的方式，对办公终端发现的木马及恶意程序开展跟踪溯源分析，明确入侵来源、影响范围与处置建议。</w:t>
      </w:r>
    </w:p>
    <w:p w14:paraId="0CA72D94" w14:textId="77777777" w:rsidR="0075369D" w:rsidRDefault="0075369D">
      <w:pPr>
        <w:adjustRightInd w:val="0"/>
        <w:spacing w:line="360" w:lineRule="auto"/>
        <w:ind w:firstLineChars="200" w:firstLine="480"/>
        <w:textAlignment w:val="baseline"/>
        <w:rPr>
          <w:rFonts w:ascii="宋体" w:hAnsi="宋体" w:hint="eastAsia"/>
          <w:bCs/>
          <w:sz w:val="24"/>
        </w:rPr>
      </w:pPr>
    </w:p>
    <w:p w14:paraId="559E8D72" w14:textId="77777777" w:rsidR="0075369D" w:rsidRDefault="00000000">
      <w:pPr>
        <w:pStyle w:val="afd"/>
        <w:numPr>
          <w:ilvl w:val="0"/>
          <w:numId w:val="4"/>
        </w:numPr>
        <w:adjustRightInd w:val="0"/>
        <w:spacing w:line="360" w:lineRule="auto"/>
        <w:ind w:firstLine="482"/>
        <w:outlineLvl w:val="3"/>
        <w:rPr>
          <w:rFonts w:ascii="宋体" w:hAnsi="宋体" w:hint="eastAsia"/>
          <w:b/>
          <w:color w:val="000000" w:themeColor="text1"/>
          <w:sz w:val="24"/>
        </w:rPr>
      </w:pPr>
      <w:r>
        <w:rPr>
          <w:rFonts w:ascii="宋体" w:hAnsi="宋体" w:hint="eastAsia"/>
          <w:b/>
          <w:color w:val="000000" w:themeColor="text1"/>
          <w:sz w:val="24"/>
        </w:rPr>
        <w:t>安全合规管理</w:t>
      </w:r>
    </w:p>
    <w:p w14:paraId="3EA53CC9" w14:textId="77777777" w:rsidR="0075369D" w:rsidRDefault="00000000">
      <w:pPr>
        <w:spacing w:line="360" w:lineRule="auto"/>
        <w:ind w:firstLineChars="200" w:firstLine="480"/>
        <w:rPr>
          <w:rFonts w:ascii="宋体" w:hAnsi="宋体" w:hint="eastAsia"/>
          <w:color w:val="000000" w:themeColor="text1"/>
          <w:sz w:val="24"/>
        </w:rPr>
      </w:pPr>
      <w:r>
        <w:rPr>
          <w:rFonts w:ascii="宋体" w:hAnsi="宋体" w:hint="eastAsia"/>
          <w:color w:val="000000" w:themeColor="text1"/>
          <w:sz w:val="24"/>
        </w:rPr>
        <w:t>1）系统定级备案：根据工信部及通管局监管要求，需定期开展“年报”网络安全工作信息填报及定级备案工作。按照《电信网和互联网网络安全防护定级备案实施指南》等相关标准，根据甲方需要协助对重要系统（包含Web应用、APP、小程序等）开展定级备案，协助甲方开展资产梳理、网络单元划分、定级备案文档编写、符合性测评、安全风险评估等工作。最终输出定级备案文档、符合性评测表、安全风险评估文档、安全风险整改文档等。</w:t>
      </w:r>
    </w:p>
    <w:p w14:paraId="6419B3D9" w14:textId="77777777" w:rsidR="0075369D" w:rsidRDefault="00000000">
      <w:pPr>
        <w:spacing w:line="360" w:lineRule="auto"/>
        <w:ind w:firstLineChars="200" w:firstLine="480"/>
        <w:rPr>
          <w:rFonts w:ascii="宋体" w:hAnsi="宋体" w:hint="eastAsia"/>
          <w:color w:val="000000" w:themeColor="text1"/>
          <w:sz w:val="24"/>
        </w:rPr>
      </w:pPr>
      <w:r>
        <w:rPr>
          <w:rFonts w:ascii="宋体" w:hAnsi="宋体" w:hint="eastAsia"/>
          <w:color w:val="000000" w:themeColor="text1"/>
          <w:sz w:val="24"/>
        </w:rPr>
        <w:t>2）安全迎检支撑：制定安全迎检方案，提供两部委检查、集团检查以及其他专项网络安全检查的的技术支撑能力，包括准备迎检资料、操作演示环境等，确保检查不扣分、按期保质顺利完成。</w:t>
      </w:r>
    </w:p>
    <w:p w14:paraId="49157AF3" w14:textId="77777777" w:rsidR="0075369D" w:rsidRDefault="0075369D">
      <w:pPr>
        <w:pStyle w:val="af5"/>
        <w:spacing w:line="360" w:lineRule="auto"/>
        <w:ind w:firstLineChars="0" w:firstLine="0"/>
        <w:rPr>
          <w:rFonts w:hint="eastAsia"/>
          <w:lang w:eastAsia="zh-CN"/>
        </w:rPr>
      </w:pPr>
    </w:p>
    <w:p w14:paraId="581AA46D" w14:textId="77777777" w:rsidR="0075369D" w:rsidRDefault="00000000">
      <w:pPr>
        <w:pStyle w:val="afd"/>
        <w:numPr>
          <w:ilvl w:val="0"/>
          <w:numId w:val="4"/>
        </w:numPr>
        <w:adjustRightInd w:val="0"/>
        <w:spacing w:line="360" w:lineRule="auto"/>
        <w:ind w:firstLine="482"/>
        <w:outlineLvl w:val="3"/>
        <w:rPr>
          <w:rFonts w:ascii="宋体" w:hAnsi="宋体" w:hint="eastAsia"/>
          <w:b/>
          <w:color w:val="000000" w:themeColor="text1"/>
          <w:sz w:val="24"/>
        </w:rPr>
      </w:pPr>
      <w:r>
        <w:rPr>
          <w:rFonts w:ascii="宋体" w:hAnsi="宋体" w:hint="eastAsia"/>
          <w:b/>
          <w:color w:val="000000" w:themeColor="text1"/>
          <w:sz w:val="24"/>
        </w:rPr>
        <w:t>安全设备运营</w:t>
      </w:r>
    </w:p>
    <w:p w14:paraId="780C3829" w14:textId="77777777" w:rsidR="0075369D" w:rsidRDefault="00000000">
      <w:pPr>
        <w:spacing w:line="360" w:lineRule="auto"/>
        <w:ind w:firstLineChars="200" w:firstLine="480"/>
        <w:rPr>
          <w:rFonts w:ascii="宋体" w:hAnsi="宋体" w:hint="eastAsia"/>
          <w:color w:val="000000" w:themeColor="text1"/>
          <w:sz w:val="24"/>
        </w:rPr>
      </w:pPr>
      <w:r>
        <w:rPr>
          <w:rFonts w:ascii="宋体" w:hAnsi="宋体" w:hint="eastAsia"/>
          <w:color w:val="000000" w:themeColor="text1"/>
          <w:sz w:val="24"/>
        </w:rPr>
        <w:t>对甲方的云环境、安全系统及设备进行日常运维，服务内容包含策略配置、故障解决、数据上报、设备运行状态巡检等包括日常维护、变更、监控、巡检、系统优化、故障分析、问题处理、高可用演练等。使用人工智能技术赋能安全设备的日常运营，例如辅助日志的分析溯源，对设备日志进行筛选提取关联告警信息。</w:t>
      </w:r>
    </w:p>
    <w:p w14:paraId="0073918D" w14:textId="77777777" w:rsidR="0075369D" w:rsidRDefault="0075369D">
      <w:pPr>
        <w:spacing w:line="360" w:lineRule="auto"/>
        <w:ind w:firstLineChars="200" w:firstLine="480"/>
        <w:rPr>
          <w:rFonts w:ascii="宋体" w:hAnsi="宋体" w:hint="eastAsia"/>
          <w:color w:val="000000" w:themeColor="text1"/>
          <w:sz w:val="24"/>
        </w:rPr>
      </w:pPr>
    </w:p>
    <w:p w14:paraId="6CA370E9" w14:textId="77777777" w:rsidR="0075369D" w:rsidRDefault="00000000">
      <w:pPr>
        <w:pStyle w:val="afd"/>
        <w:numPr>
          <w:ilvl w:val="0"/>
          <w:numId w:val="4"/>
        </w:numPr>
        <w:adjustRightInd w:val="0"/>
        <w:spacing w:line="360" w:lineRule="auto"/>
        <w:ind w:firstLine="482"/>
        <w:outlineLvl w:val="3"/>
        <w:rPr>
          <w:rFonts w:ascii="宋体" w:hAnsi="宋体" w:hint="eastAsia"/>
          <w:b/>
          <w:color w:val="000000" w:themeColor="text1"/>
          <w:sz w:val="24"/>
        </w:rPr>
      </w:pPr>
      <w:r>
        <w:rPr>
          <w:rFonts w:ascii="宋体" w:hAnsi="宋体" w:hint="eastAsia"/>
          <w:b/>
          <w:color w:val="000000" w:themeColor="text1"/>
          <w:sz w:val="24"/>
        </w:rPr>
        <w:t>重大活动安全保障</w:t>
      </w:r>
    </w:p>
    <w:p w14:paraId="552F9EAB" w14:textId="77777777" w:rsidR="0075369D" w:rsidRDefault="00000000">
      <w:pPr>
        <w:spacing w:line="360" w:lineRule="auto"/>
        <w:ind w:firstLineChars="200" w:firstLine="480"/>
        <w:rPr>
          <w:rFonts w:ascii="宋体" w:hAnsi="宋体" w:hint="eastAsia"/>
          <w:color w:val="000000" w:themeColor="text1"/>
          <w:sz w:val="24"/>
        </w:rPr>
      </w:pPr>
      <w:r>
        <w:rPr>
          <w:rFonts w:ascii="宋体" w:hAnsi="宋体" w:hint="eastAsia"/>
          <w:color w:val="000000" w:themeColor="text1"/>
          <w:sz w:val="24"/>
        </w:rPr>
        <w:t>重大活动期间，提供网络安全保障与值守服务，派安全人员现场值守开展安全监测分析，发现问题，及时告警并处置。重保期间进行7*24小时安全值守，提供信息安全技术支撑，采取现场服务的方式，以确保重要信息系统的安全稳定运行。内容包括保障前的准备工作、保障中的安全监测与值守、保障后的工作总结等。</w:t>
      </w:r>
    </w:p>
    <w:p w14:paraId="1EE6ED73" w14:textId="77777777" w:rsidR="0075369D" w:rsidRDefault="0075369D">
      <w:pPr>
        <w:spacing w:line="360" w:lineRule="auto"/>
        <w:ind w:firstLineChars="200" w:firstLine="480"/>
        <w:rPr>
          <w:rFonts w:ascii="宋体" w:hAnsi="宋体" w:hint="eastAsia"/>
          <w:color w:val="000000" w:themeColor="text1"/>
          <w:sz w:val="24"/>
        </w:rPr>
      </w:pPr>
    </w:p>
    <w:p w14:paraId="1C301AC3" w14:textId="77777777" w:rsidR="0075369D" w:rsidRDefault="00000000">
      <w:pPr>
        <w:pStyle w:val="afd"/>
        <w:numPr>
          <w:ilvl w:val="0"/>
          <w:numId w:val="4"/>
        </w:numPr>
        <w:adjustRightInd w:val="0"/>
        <w:spacing w:line="360" w:lineRule="auto"/>
        <w:ind w:firstLine="482"/>
        <w:outlineLvl w:val="3"/>
        <w:rPr>
          <w:rFonts w:ascii="宋体" w:hAnsi="宋体" w:hint="eastAsia"/>
          <w:b/>
          <w:color w:val="000000" w:themeColor="text1"/>
          <w:sz w:val="24"/>
        </w:rPr>
      </w:pPr>
      <w:r>
        <w:rPr>
          <w:rFonts w:ascii="宋体" w:hAnsi="宋体" w:hint="eastAsia"/>
          <w:b/>
          <w:color w:val="000000" w:themeColor="text1"/>
          <w:sz w:val="24"/>
        </w:rPr>
        <w:t>应急响应处置</w:t>
      </w:r>
    </w:p>
    <w:p w14:paraId="2D6ED0FF" w14:textId="77777777" w:rsidR="0075369D" w:rsidRDefault="00000000">
      <w:pPr>
        <w:adjustRightInd w:val="0"/>
        <w:spacing w:line="360" w:lineRule="auto"/>
        <w:ind w:firstLineChars="200" w:firstLine="480"/>
        <w:rPr>
          <w:rFonts w:ascii="宋体" w:hAnsi="宋体" w:hint="eastAsia"/>
          <w:color w:val="000000" w:themeColor="text1"/>
          <w:sz w:val="24"/>
        </w:rPr>
      </w:pPr>
      <w:r>
        <w:rPr>
          <w:rFonts w:ascii="宋体" w:hAnsi="宋体" w:hint="eastAsia"/>
          <w:color w:val="000000" w:themeColor="text1"/>
          <w:sz w:val="24"/>
        </w:rPr>
        <w:t>针对甲方的突发安全攻击事件，进行事件分析、风险抑制和清除、发现问题所在，协助制定可落地的网络与信息安全应急预案和应急演练计划，组织相关单位及人员，定期开展应急响应培训、钓鱼演练，并依据应急预案内容开展应急演练，模拟应对突发事件的活动，进一步加强对应急处理预案的理解，通过演练检验预案中网络安全事件等级划分、响应流程等的合理性，发现预案存在的不足之处，提出并更新维护完善预案。</w:t>
      </w:r>
    </w:p>
    <w:p w14:paraId="1EEE03DC" w14:textId="77777777" w:rsidR="0075369D" w:rsidRDefault="00000000">
      <w:pPr>
        <w:adjustRightInd w:val="0"/>
        <w:spacing w:line="360" w:lineRule="auto"/>
        <w:ind w:firstLineChars="200" w:firstLine="480"/>
        <w:rPr>
          <w:rFonts w:ascii="宋体" w:hAnsi="宋体" w:hint="eastAsia"/>
          <w:color w:val="000000" w:themeColor="text1"/>
          <w:sz w:val="24"/>
        </w:rPr>
      </w:pPr>
      <w:r>
        <w:rPr>
          <w:rFonts w:ascii="宋体" w:hAnsi="宋体" w:hint="eastAsia"/>
          <w:color w:val="000000" w:themeColor="text1"/>
          <w:sz w:val="24"/>
        </w:rPr>
        <w:t>编制详细的应急演练报告，报告内容包括演练背景、目标、范围、过程、结果、问题分析以及优化建议等方面的详细信息，为甲方提供决策支持和参考依据，确保演练成果能够得到有效应用和转化。根据演练结果，对甲方人员进行安全法律法规、安全意识、安全基础技能、渗透测试技术、安全管理体系、安全加固、第三方安全等知识的培训。</w:t>
      </w:r>
    </w:p>
    <w:p w14:paraId="41122FE7" w14:textId="77777777" w:rsidR="0075369D" w:rsidRDefault="0075369D">
      <w:pPr>
        <w:pStyle w:val="af5"/>
        <w:spacing w:line="360" w:lineRule="auto"/>
        <w:ind w:firstLine="240"/>
        <w:rPr>
          <w:rFonts w:hint="eastAsia"/>
          <w:color w:val="000000" w:themeColor="text1"/>
          <w:lang w:eastAsia="zh-CN"/>
        </w:rPr>
      </w:pPr>
    </w:p>
    <w:p w14:paraId="71C48EF3" w14:textId="2EAB57BE" w:rsidR="0075369D" w:rsidRDefault="00000000">
      <w:pPr>
        <w:pStyle w:val="afd"/>
        <w:numPr>
          <w:ilvl w:val="0"/>
          <w:numId w:val="4"/>
        </w:numPr>
        <w:adjustRightInd w:val="0"/>
        <w:spacing w:line="360" w:lineRule="auto"/>
        <w:ind w:firstLine="482"/>
        <w:outlineLvl w:val="3"/>
        <w:rPr>
          <w:rFonts w:ascii="宋体" w:hAnsi="宋体" w:hint="eastAsia"/>
          <w:b/>
          <w:color w:val="000000" w:themeColor="text1"/>
          <w:sz w:val="24"/>
        </w:rPr>
      </w:pPr>
      <w:r>
        <w:rPr>
          <w:rFonts w:ascii="宋体" w:hAnsi="宋体" w:hint="eastAsia"/>
          <w:b/>
          <w:color w:val="000000" w:themeColor="text1"/>
          <w:sz w:val="24"/>
        </w:rPr>
        <w:t>攻防演练</w:t>
      </w:r>
      <w:r w:rsidR="002272CF">
        <w:rPr>
          <w:rFonts w:ascii="宋体" w:hAnsi="宋体" w:hint="eastAsia"/>
          <w:b/>
          <w:color w:val="000000" w:themeColor="text1"/>
          <w:sz w:val="24"/>
        </w:rPr>
        <w:t>服务</w:t>
      </w:r>
    </w:p>
    <w:p w14:paraId="1906BAF5" w14:textId="77777777" w:rsidR="0075369D" w:rsidRDefault="00000000">
      <w:pPr>
        <w:adjustRightInd w:val="0"/>
        <w:spacing w:line="360" w:lineRule="auto"/>
        <w:ind w:firstLineChars="200" w:firstLine="480"/>
        <w:rPr>
          <w:rFonts w:ascii="宋体" w:hAnsi="宋体" w:hint="eastAsia"/>
          <w:color w:val="000000" w:themeColor="text1"/>
          <w:sz w:val="24"/>
        </w:rPr>
      </w:pPr>
      <w:r>
        <w:rPr>
          <w:rFonts w:ascii="宋体" w:hAnsi="宋体"/>
          <w:color w:val="000000" w:themeColor="text1"/>
          <w:sz w:val="24"/>
        </w:rPr>
        <w:t>支撑开展网络安全攻防实战演习、针对各级网络安全实战演习提供网络安全应急保障。结合甲方业务场景，服务方应全程参与协助甲方完成前期的准备工作、场景选择、队伍组建、实操过程、工作总结等。</w:t>
      </w:r>
      <w:r>
        <w:rPr>
          <w:rFonts w:ascii="宋体" w:hAnsi="宋体" w:hint="eastAsia"/>
          <w:color w:val="000000" w:themeColor="text1"/>
          <w:sz w:val="24"/>
        </w:rPr>
        <w:t>根据甲方要求，配合完成各上级部门组织的网络安全实战演习，按要求开展攻防渗透、防守溯源反制，输出攻击报告、溯源报告，并根据演练结果，对甲方人员进行安全法律法规、安全意识、安全基础技能、渗透测试技术、安全管理体系、安全加固、第三方安全等知识的培训。需要高级网络安全专家支撑开展攻防支撑，输出攻击报告、防守报告、技</w:t>
      </w:r>
      <w:r>
        <w:rPr>
          <w:rFonts w:ascii="宋体" w:hAnsi="宋体" w:hint="eastAsia"/>
          <w:color w:val="000000" w:themeColor="text1"/>
          <w:sz w:val="24"/>
        </w:rPr>
        <w:lastRenderedPageBreak/>
        <w:t>战法等。</w:t>
      </w:r>
    </w:p>
    <w:p w14:paraId="33BBE339" w14:textId="77777777" w:rsidR="0075369D" w:rsidRDefault="0075369D">
      <w:pPr>
        <w:pStyle w:val="af5"/>
        <w:spacing w:line="360" w:lineRule="auto"/>
        <w:ind w:firstLineChars="0" w:firstLine="0"/>
        <w:rPr>
          <w:rFonts w:hint="eastAsia"/>
          <w:color w:val="000000" w:themeColor="text1"/>
          <w:lang w:eastAsia="zh-CN"/>
        </w:rPr>
      </w:pPr>
    </w:p>
    <w:p w14:paraId="4A08CC7C" w14:textId="6F6F2863" w:rsidR="0075369D" w:rsidRDefault="00000000">
      <w:pPr>
        <w:pStyle w:val="afd"/>
        <w:numPr>
          <w:ilvl w:val="0"/>
          <w:numId w:val="4"/>
        </w:numPr>
        <w:adjustRightInd w:val="0"/>
        <w:spacing w:line="360" w:lineRule="auto"/>
        <w:ind w:firstLine="482"/>
        <w:outlineLvl w:val="3"/>
        <w:rPr>
          <w:rFonts w:ascii="宋体" w:hAnsi="宋体" w:hint="eastAsia"/>
          <w:b/>
          <w:color w:val="000000" w:themeColor="text1"/>
          <w:sz w:val="24"/>
        </w:rPr>
      </w:pPr>
      <w:r>
        <w:rPr>
          <w:rFonts w:ascii="宋体" w:hAnsi="宋体" w:hint="eastAsia"/>
          <w:b/>
          <w:color w:val="000000" w:themeColor="text1"/>
          <w:sz w:val="24"/>
        </w:rPr>
        <w:t>安全事件监测</w:t>
      </w:r>
      <w:r w:rsidR="002272CF">
        <w:rPr>
          <w:rFonts w:ascii="宋体" w:hAnsi="宋体" w:hint="eastAsia"/>
          <w:b/>
          <w:color w:val="000000" w:themeColor="text1"/>
          <w:sz w:val="24"/>
        </w:rPr>
        <w:t>分析</w:t>
      </w:r>
    </w:p>
    <w:p w14:paraId="4E999586" w14:textId="77777777" w:rsidR="0075369D" w:rsidRDefault="00000000">
      <w:pPr>
        <w:adjustRightInd w:val="0"/>
        <w:spacing w:line="360" w:lineRule="auto"/>
        <w:ind w:firstLineChars="200" w:firstLine="480"/>
        <w:rPr>
          <w:rFonts w:ascii="宋体" w:hAnsi="宋体" w:hint="eastAsia"/>
          <w:color w:val="000000" w:themeColor="text1"/>
          <w:sz w:val="24"/>
        </w:rPr>
      </w:pPr>
      <w:r>
        <w:rPr>
          <w:rFonts w:ascii="宋体" w:hAnsi="宋体" w:hint="eastAsia"/>
          <w:color w:val="000000" w:themeColor="text1"/>
          <w:sz w:val="24"/>
        </w:rPr>
        <w:t>结合AI技术对甲方资产安全进行全方位持续监测，以及挖掘分析工作，及时发现可能导致甲方网络、系统、数据被侵害的事件，掌握重要信息系统相关网络安全威胁风险，快速处置与响应，每周上报甲方总体安全态势，构建覆盖全网的网络安全态势感知、安全监测和通报预警体系。</w:t>
      </w:r>
    </w:p>
    <w:p w14:paraId="69C95E3A" w14:textId="77777777" w:rsidR="0075369D" w:rsidRDefault="00000000">
      <w:pPr>
        <w:pStyle w:val="af5"/>
        <w:spacing w:line="360" w:lineRule="auto"/>
        <w:ind w:firstLineChars="200" w:firstLine="480"/>
        <w:rPr>
          <w:rFonts w:hint="eastAsia"/>
          <w:highlight w:val="yellow"/>
          <w:lang w:eastAsia="zh-CN"/>
        </w:rPr>
      </w:pPr>
      <w:r>
        <w:rPr>
          <w:rFonts w:cs="Times New Roman" w:hint="eastAsia"/>
          <w:color w:val="000000" w:themeColor="text1"/>
          <w:kern w:val="2"/>
          <w:lang w:eastAsia="zh-CN"/>
        </w:rPr>
        <w:t>定期收集业内安全威胁情报，根据甲方IT架构、网络结构和业务情况，分析各类安全威胁对甲方业务系统的影响程度,分析各类安全威胁的非代码方式防护手段和防护策略，提供防护策略配置建议;分析各类安全威胁的检测手段，优化安全渗透的评估方案,提供检测手段和工具。</w:t>
      </w:r>
    </w:p>
    <w:p w14:paraId="6127D107" w14:textId="77777777" w:rsidR="0075369D" w:rsidRDefault="00000000">
      <w:pPr>
        <w:pStyle w:val="afd"/>
        <w:numPr>
          <w:ilvl w:val="0"/>
          <w:numId w:val="4"/>
        </w:numPr>
        <w:adjustRightInd w:val="0"/>
        <w:spacing w:line="360" w:lineRule="auto"/>
        <w:ind w:firstLine="482"/>
        <w:outlineLvl w:val="3"/>
        <w:rPr>
          <w:rFonts w:ascii="宋体" w:hAnsi="宋体" w:hint="eastAsia"/>
          <w:b/>
          <w:color w:val="000000" w:themeColor="text1"/>
          <w:sz w:val="24"/>
        </w:rPr>
      </w:pPr>
      <w:r>
        <w:rPr>
          <w:rFonts w:ascii="宋体" w:hAnsi="宋体" w:hint="eastAsia"/>
          <w:b/>
          <w:color w:val="000000" w:themeColor="text1"/>
          <w:sz w:val="24"/>
        </w:rPr>
        <w:t>网络安全管理与运营支撑</w:t>
      </w:r>
    </w:p>
    <w:p w14:paraId="4EA07E5B" w14:textId="77777777" w:rsidR="0075369D" w:rsidRDefault="00000000">
      <w:pPr>
        <w:adjustRightInd w:val="0"/>
        <w:spacing w:line="360" w:lineRule="auto"/>
        <w:ind w:firstLineChars="200" w:firstLine="480"/>
        <w:rPr>
          <w:rFonts w:ascii="宋体" w:hAnsi="宋体" w:hint="eastAsia"/>
          <w:color w:val="000000" w:themeColor="text1"/>
          <w:sz w:val="24"/>
        </w:rPr>
      </w:pPr>
      <w:r>
        <w:rPr>
          <w:rFonts w:ascii="宋体" w:hAnsi="宋体" w:hint="eastAsia"/>
          <w:color w:val="000000" w:themeColor="text1"/>
          <w:sz w:val="24"/>
        </w:rPr>
        <w:t>对标网信安全领域“四法一条例”，深入调研甲方网络安全相关的战略、组织、业务、流程现状，根据上级单位网络安全顶层设计与规划，结合甲方自身实际情况，协助甲方完善创新研究院的网络安全管理细则，做好网络安全规划编写，制定网络安全管理与技术策略。形成安全管理规划报告。</w:t>
      </w:r>
    </w:p>
    <w:p w14:paraId="15372C3B" w14:textId="77777777" w:rsidR="0075369D" w:rsidRDefault="00000000">
      <w:pPr>
        <w:adjustRightInd w:val="0"/>
        <w:spacing w:line="360" w:lineRule="auto"/>
        <w:ind w:firstLineChars="200" w:firstLine="480"/>
        <w:rPr>
          <w:rFonts w:ascii="宋体" w:hAnsi="宋体" w:cs="宋体" w:hint="eastAsia"/>
          <w:b/>
          <w:color w:val="000000" w:themeColor="text1"/>
          <w:kern w:val="0"/>
          <w:sz w:val="24"/>
          <w:highlight w:val="yellow"/>
        </w:rPr>
      </w:pPr>
      <w:r>
        <w:rPr>
          <w:rFonts w:ascii="宋体" w:hAnsi="宋体" w:hint="eastAsia"/>
          <w:color w:val="000000" w:themeColor="text1"/>
          <w:sz w:val="24"/>
        </w:rPr>
        <w:t>梳理线下安全运营流程，简化环节、优化审批链路，建立线上发起、跟踪、归档全流程机制，配套线下制度约束，提高运营效率与可追溯性。</w:t>
      </w:r>
    </w:p>
    <w:p w14:paraId="308ABE8B" w14:textId="77777777" w:rsidR="0075369D" w:rsidRDefault="00000000">
      <w:pPr>
        <w:pStyle w:val="afd"/>
        <w:numPr>
          <w:ilvl w:val="0"/>
          <w:numId w:val="4"/>
        </w:numPr>
        <w:adjustRightInd w:val="0"/>
        <w:spacing w:line="360" w:lineRule="auto"/>
        <w:ind w:firstLine="482"/>
        <w:outlineLvl w:val="3"/>
        <w:rPr>
          <w:rFonts w:ascii="宋体" w:hAnsi="宋体" w:hint="eastAsia"/>
          <w:b/>
          <w:color w:val="000000" w:themeColor="text1"/>
          <w:sz w:val="24"/>
        </w:rPr>
      </w:pPr>
      <w:r>
        <w:rPr>
          <w:rFonts w:ascii="宋体" w:hAnsi="宋体" w:hint="eastAsia"/>
          <w:b/>
          <w:color w:val="000000" w:themeColor="text1"/>
          <w:sz w:val="24"/>
        </w:rPr>
        <w:t>AI安全风险评估</w:t>
      </w:r>
    </w:p>
    <w:p w14:paraId="69F7BBFA" w14:textId="77777777" w:rsidR="0075369D" w:rsidRDefault="00000000">
      <w:pPr>
        <w:adjustRightInd w:val="0"/>
        <w:spacing w:line="360" w:lineRule="auto"/>
        <w:ind w:firstLineChars="200" w:firstLine="480"/>
        <w:rPr>
          <w:rFonts w:ascii="宋体" w:hAnsi="宋体" w:hint="eastAsia"/>
          <w:color w:val="000000" w:themeColor="text1"/>
          <w:sz w:val="24"/>
        </w:rPr>
      </w:pPr>
      <w:r>
        <w:rPr>
          <w:rFonts w:ascii="宋体" w:hAnsi="宋体" w:hint="eastAsia"/>
          <w:color w:val="000000" w:themeColor="text1"/>
          <w:sz w:val="24"/>
        </w:rPr>
        <w:t>针对AI技术、智能体技术发展带来的AI框架组件漏洞、AI应用风险的威胁情报、Agent沙箱运行时安全等新型网络安全问题，提供AI应用上线前、运行中及变更后的安全风险评估服务，识别AI应用服务运行过程中存在的安全隐患，输出《AI安全风险评估报告》。</w:t>
      </w:r>
    </w:p>
    <w:p w14:paraId="084D0936" w14:textId="77777777" w:rsidR="0075369D" w:rsidRDefault="0075369D">
      <w:pPr>
        <w:adjustRightInd w:val="0"/>
        <w:spacing w:line="360" w:lineRule="auto"/>
        <w:rPr>
          <w:rFonts w:ascii="宋体" w:hAnsi="宋体" w:hint="eastAsia"/>
          <w:color w:val="000000" w:themeColor="text1"/>
          <w:sz w:val="24"/>
          <w:highlight w:val="yellow"/>
        </w:rPr>
      </w:pPr>
    </w:p>
    <w:p w14:paraId="7FD4BCB4" w14:textId="77777777" w:rsidR="0075369D" w:rsidRDefault="00000000">
      <w:pPr>
        <w:adjustRightInd w:val="0"/>
        <w:spacing w:line="360" w:lineRule="auto"/>
        <w:ind w:firstLineChars="200" w:firstLine="482"/>
        <w:rPr>
          <w:rFonts w:ascii="宋体" w:hAnsi="宋体" w:cs="宋体" w:hint="eastAsia"/>
          <w:b/>
          <w:sz w:val="24"/>
          <w:szCs w:val="22"/>
        </w:rPr>
      </w:pPr>
      <w:bookmarkStart w:id="187" w:name="_Toc224208630"/>
      <w:r>
        <w:rPr>
          <w:rFonts w:ascii="宋体" w:hAnsi="宋体" w:cs="宋体" w:hint="eastAsia"/>
          <w:b/>
          <w:sz w:val="24"/>
          <w:szCs w:val="22"/>
        </w:rPr>
        <w:t>2.2.2服务输出物</w:t>
      </w:r>
      <w:bookmarkEnd w:id="187"/>
    </w:p>
    <w:tbl>
      <w:tblPr>
        <w:tblW w:w="4998" w:type="pct"/>
        <w:tblLook w:val="04A0" w:firstRow="1" w:lastRow="0" w:firstColumn="1" w:lastColumn="0" w:noHBand="0" w:noVBand="1"/>
      </w:tblPr>
      <w:tblGrid>
        <w:gridCol w:w="1131"/>
        <w:gridCol w:w="1161"/>
        <w:gridCol w:w="6001"/>
      </w:tblGrid>
      <w:tr w:rsidR="0075369D" w14:paraId="2437617B" w14:textId="77777777">
        <w:trPr>
          <w:trHeight w:val="570"/>
        </w:trPr>
        <w:tc>
          <w:tcPr>
            <w:tcW w:w="681" w:type="pct"/>
            <w:tcBorders>
              <w:top w:val="single" w:sz="4" w:space="0" w:color="000000"/>
              <w:left w:val="single" w:sz="4" w:space="0" w:color="000000"/>
              <w:bottom w:val="single" w:sz="4" w:space="0" w:color="000000"/>
              <w:right w:val="single" w:sz="4" w:space="0" w:color="000000"/>
            </w:tcBorders>
            <w:shd w:val="clear" w:color="auto" w:fill="8DB4E2"/>
            <w:vAlign w:val="center"/>
          </w:tcPr>
          <w:p w14:paraId="55AA5D4A" w14:textId="77777777" w:rsidR="0075369D" w:rsidRDefault="00000000">
            <w:pPr>
              <w:widowControl/>
              <w:spacing w:line="360" w:lineRule="auto"/>
              <w:textAlignment w:val="center"/>
              <w:rPr>
                <w:rFonts w:ascii="宋体" w:hAnsi="宋体" w:cs="宋体" w:hint="eastAsia"/>
                <w:b/>
                <w:bCs/>
                <w:color w:val="000000"/>
                <w:szCs w:val="21"/>
              </w:rPr>
            </w:pPr>
            <w:r>
              <w:rPr>
                <w:rFonts w:ascii="宋体" w:hAnsi="宋体" w:cs="宋体" w:hint="eastAsia"/>
                <w:b/>
                <w:bCs/>
                <w:color w:val="000000"/>
                <w:kern w:val="0"/>
                <w:szCs w:val="21"/>
                <w:lang w:bidi="ar"/>
              </w:rPr>
              <w:t>项目名称</w:t>
            </w:r>
          </w:p>
        </w:tc>
        <w:tc>
          <w:tcPr>
            <w:tcW w:w="700" w:type="pct"/>
            <w:tcBorders>
              <w:top w:val="single" w:sz="4" w:space="0" w:color="000000"/>
              <w:left w:val="single" w:sz="4" w:space="0" w:color="000000"/>
              <w:bottom w:val="single" w:sz="4" w:space="0" w:color="000000"/>
              <w:right w:val="single" w:sz="4" w:space="0" w:color="000000"/>
            </w:tcBorders>
            <w:shd w:val="clear" w:color="auto" w:fill="8DB4E2"/>
            <w:vAlign w:val="center"/>
          </w:tcPr>
          <w:p w14:paraId="03C9C3C4" w14:textId="77777777" w:rsidR="0075369D" w:rsidRDefault="00000000">
            <w:pPr>
              <w:widowControl/>
              <w:spacing w:line="360" w:lineRule="auto"/>
              <w:jc w:val="center"/>
              <w:textAlignment w:val="center"/>
              <w:rPr>
                <w:rFonts w:ascii="宋体" w:hAnsi="宋体" w:cs="宋体" w:hint="eastAsia"/>
                <w:b/>
                <w:bCs/>
                <w:color w:val="000000"/>
                <w:szCs w:val="21"/>
              </w:rPr>
            </w:pPr>
            <w:r>
              <w:rPr>
                <w:rFonts w:ascii="宋体" w:hAnsi="宋体" w:cs="宋体" w:hint="eastAsia"/>
                <w:b/>
                <w:bCs/>
                <w:color w:val="000000"/>
                <w:kern w:val="0"/>
                <w:szCs w:val="21"/>
                <w:lang w:bidi="ar"/>
              </w:rPr>
              <w:t>服务内容</w:t>
            </w:r>
          </w:p>
        </w:tc>
        <w:tc>
          <w:tcPr>
            <w:tcW w:w="3617" w:type="pct"/>
            <w:tcBorders>
              <w:top w:val="single" w:sz="4" w:space="0" w:color="000000"/>
              <w:left w:val="single" w:sz="4" w:space="0" w:color="000000"/>
              <w:bottom w:val="single" w:sz="4" w:space="0" w:color="000000"/>
              <w:right w:val="single" w:sz="4" w:space="0" w:color="000000"/>
            </w:tcBorders>
            <w:shd w:val="clear" w:color="auto" w:fill="8DB4E2"/>
            <w:vAlign w:val="center"/>
          </w:tcPr>
          <w:p w14:paraId="6E67EE8C" w14:textId="77777777" w:rsidR="0075369D" w:rsidRDefault="00000000">
            <w:pPr>
              <w:widowControl/>
              <w:spacing w:line="360" w:lineRule="auto"/>
              <w:jc w:val="center"/>
              <w:textAlignment w:val="center"/>
              <w:rPr>
                <w:rFonts w:ascii="宋体" w:hAnsi="宋体" w:cs="宋体" w:hint="eastAsia"/>
                <w:b/>
                <w:bCs/>
                <w:color w:val="000000"/>
                <w:szCs w:val="21"/>
              </w:rPr>
            </w:pPr>
            <w:r>
              <w:rPr>
                <w:rFonts w:ascii="宋体" w:hAnsi="宋体" w:cs="宋体" w:hint="eastAsia"/>
                <w:b/>
                <w:bCs/>
                <w:color w:val="000000"/>
                <w:kern w:val="0"/>
                <w:szCs w:val="21"/>
                <w:lang w:bidi="ar"/>
              </w:rPr>
              <w:t>输出物</w:t>
            </w:r>
          </w:p>
        </w:tc>
      </w:tr>
      <w:tr w:rsidR="0075369D" w14:paraId="4AB81FF4" w14:textId="77777777">
        <w:trPr>
          <w:trHeight w:val="1710"/>
        </w:trPr>
        <w:tc>
          <w:tcPr>
            <w:tcW w:w="681" w:type="pct"/>
            <w:vMerge w:val="restart"/>
            <w:tcBorders>
              <w:top w:val="single" w:sz="4" w:space="0" w:color="000000"/>
              <w:left w:val="single" w:sz="4" w:space="0" w:color="000000"/>
              <w:right w:val="single" w:sz="4" w:space="0" w:color="000000"/>
            </w:tcBorders>
            <w:vAlign w:val="center"/>
          </w:tcPr>
          <w:p w14:paraId="7BA35F75" w14:textId="77777777" w:rsidR="0075369D" w:rsidRDefault="00000000">
            <w:pPr>
              <w:widowControl/>
              <w:spacing w:line="360" w:lineRule="auto"/>
              <w:textAlignment w:val="center"/>
              <w:rPr>
                <w:rFonts w:ascii="宋体" w:hAnsi="宋体" w:cs="宋体" w:hint="eastAsia"/>
                <w:color w:val="000000"/>
                <w:szCs w:val="21"/>
              </w:rPr>
            </w:pPr>
            <w:r>
              <w:rPr>
                <w:rFonts w:ascii="宋体" w:hAnsi="宋体" w:cs="宋体" w:hint="eastAsia"/>
                <w:color w:val="000000"/>
                <w:kern w:val="0"/>
                <w:szCs w:val="21"/>
                <w:lang w:bidi="ar"/>
              </w:rPr>
              <w:lastRenderedPageBreak/>
              <w:t>中国移动（浙江）创新研究院2026-2028年网络安全高级技术支持服务项目</w:t>
            </w:r>
          </w:p>
        </w:tc>
        <w:tc>
          <w:tcPr>
            <w:tcW w:w="700" w:type="pct"/>
            <w:tcBorders>
              <w:top w:val="single" w:sz="4" w:space="0" w:color="000000"/>
              <w:left w:val="single" w:sz="4" w:space="0" w:color="000000"/>
              <w:bottom w:val="single" w:sz="4" w:space="0" w:color="000000"/>
              <w:right w:val="single" w:sz="4" w:space="0" w:color="000000"/>
            </w:tcBorders>
            <w:vAlign w:val="center"/>
          </w:tcPr>
          <w:p w14:paraId="4591F90D" w14:textId="77777777" w:rsidR="0075369D" w:rsidRDefault="00000000">
            <w:pPr>
              <w:widowControl/>
              <w:spacing w:line="360" w:lineRule="auto"/>
              <w:jc w:val="center"/>
              <w:textAlignment w:val="center"/>
              <w:rPr>
                <w:rFonts w:ascii="宋体" w:hAnsi="宋体" w:cs="宋体" w:hint="eastAsia"/>
                <w:color w:val="000000"/>
                <w:szCs w:val="21"/>
              </w:rPr>
            </w:pPr>
            <w:r>
              <w:rPr>
                <w:rFonts w:ascii="宋体" w:hAnsi="宋体" w:cs="宋体" w:hint="eastAsia"/>
                <w:color w:val="000000"/>
                <w:kern w:val="0"/>
                <w:szCs w:val="21"/>
                <w:lang w:bidi="ar"/>
              </w:rPr>
              <w:t>资产风险管理</w:t>
            </w:r>
          </w:p>
        </w:tc>
        <w:tc>
          <w:tcPr>
            <w:tcW w:w="3617" w:type="pct"/>
            <w:tcBorders>
              <w:top w:val="single" w:sz="4" w:space="0" w:color="000000"/>
              <w:left w:val="single" w:sz="4" w:space="0" w:color="000000"/>
              <w:bottom w:val="single" w:sz="4" w:space="0" w:color="000000"/>
              <w:right w:val="single" w:sz="4" w:space="0" w:color="000000"/>
            </w:tcBorders>
            <w:vAlign w:val="center"/>
          </w:tcPr>
          <w:p w14:paraId="0C0C30C8" w14:textId="77777777" w:rsidR="0075369D" w:rsidRDefault="00000000">
            <w:pPr>
              <w:widowControl/>
              <w:spacing w:line="360" w:lineRule="auto"/>
              <w:textAlignment w:val="center"/>
              <w:rPr>
                <w:rFonts w:ascii="宋体" w:hAnsi="宋体" w:cs="宋体" w:hint="eastAsia"/>
                <w:color w:val="000000"/>
                <w:szCs w:val="21"/>
              </w:rPr>
            </w:pPr>
            <w:r>
              <w:rPr>
                <w:rFonts w:ascii="宋体" w:hAnsi="宋体" w:cs="宋体" w:hint="eastAsia"/>
                <w:color w:val="000000"/>
                <w:kern w:val="0"/>
                <w:szCs w:val="21"/>
                <w:lang w:bidi="ar"/>
              </w:rPr>
              <w:t>输出物1：全量资产梳理清单、资产台账；时间：每月完成相关资产梳理及更新工作后7个工作日内提交报告；频次：例行每月1次，按需不定期</w:t>
            </w:r>
            <w:r>
              <w:rPr>
                <w:rFonts w:ascii="宋体" w:hAnsi="宋体" w:cs="宋体" w:hint="eastAsia"/>
                <w:color w:val="000000"/>
                <w:kern w:val="0"/>
                <w:szCs w:val="21"/>
                <w:lang w:bidi="ar"/>
              </w:rPr>
              <w:br/>
              <w:t>输出物2：暴露面资产清单，暴露面端口资产台账、暴露面资产变更报告；时间：每月完成资产稽核发现、认领及下线管理，结束后5个工作日内提交报告；频次：例行每月1次，按需不定期</w:t>
            </w:r>
            <w:r>
              <w:rPr>
                <w:rFonts w:ascii="宋体" w:hAnsi="宋体" w:cs="宋体" w:hint="eastAsia"/>
                <w:color w:val="000000"/>
                <w:kern w:val="0"/>
                <w:szCs w:val="21"/>
                <w:lang w:bidi="ar"/>
              </w:rPr>
              <w:br/>
              <w:t>输出物3：资产漏洞台账；时间：每月完成相关资产风险扫描、更新台账，结束后5个工作日内提交报告；频次：按需不定期</w:t>
            </w:r>
          </w:p>
        </w:tc>
      </w:tr>
      <w:tr w:rsidR="0075369D" w14:paraId="4B3FDC46" w14:textId="77777777">
        <w:trPr>
          <w:trHeight w:val="2850"/>
        </w:trPr>
        <w:tc>
          <w:tcPr>
            <w:tcW w:w="681" w:type="pct"/>
            <w:vMerge/>
            <w:tcBorders>
              <w:left w:val="single" w:sz="4" w:space="0" w:color="000000"/>
              <w:right w:val="single" w:sz="4" w:space="0" w:color="000000"/>
            </w:tcBorders>
            <w:vAlign w:val="center"/>
          </w:tcPr>
          <w:p w14:paraId="14AEAF6E" w14:textId="77777777" w:rsidR="0075369D" w:rsidRDefault="0075369D">
            <w:pPr>
              <w:spacing w:line="360" w:lineRule="auto"/>
              <w:rPr>
                <w:rFonts w:ascii="宋体" w:hAnsi="宋体" w:cs="宋体" w:hint="eastAsia"/>
                <w:color w:val="000000"/>
                <w:szCs w:val="21"/>
              </w:rPr>
            </w:pPr>
          </w:p>
        </w:tc>
        <w:tc>
          <w:tcPr>
            <w:tcW w:w="700" w:type="pct"/>
            <w:tcBorders>
              <w:top w:val="single" w:sz="4" w:space="0" w:color="000000"/>
              <w:left w:val="single" w:sz="4" w:space="0" w:color="000000"/>
              <w:bottom w:val="single" w:sz="4" w:space="0" w:color="000000"/>
              <w:right w:val="single" w:sz="4" w:space="0" w:color="000000"/>
            </w:tcBorders>
            <w:vAlign w:val="center"/>
          </w:tcPr>
          <w:p w14:paraId="0C8CD5FF" w14:textId="77777777" w:rsidR="0075369D" w:rsidRDefault="00000000">
            <w:pPr>
              <w:widowControl/>
              <w:spacing w:line="360" w:lineRule="auto"/>
              <w:jc w:val="center"/>
              <w:textAlignment w:val="center"/>
              <w:rPr>
                <w:rFonts w:ascii="宋体" w:hAnsi="宋体" w:cs="宋体" w:hint="eastAsia"/>
                <w:color w:val="000000"/>
                <w:szCs w:val="21"/>
              </w:rPr>
            </w:pPr>
            <w:r>
              <w:rPr>
                <w:rFonts w:ascii="宋体" w:hAnsi="宋体" w:cs="宋体" w:hint="eastAsia"/>
                <w:color w:val="000000"/>
                <w:kern w:val="0"/>
                <w:szCs w:val="21"/>
                <w:lang w:bidi="ar"/>
              </w:rPr>
              <w:t>网络安全风险评估</w:t>
            </w:r>
          </w:p>
        </w:tc>
        <w:tc>
          <w:tcPr>
            <w:tcW w:w="3617" w:type="pct"/>
            <w:tcBorders>
              <w:top w:val="single" w:sz="4" w:space="0" w:color="000000"/>
              <w:left w:val="single" w:sz="4" w:space="0" w:color="000000"/>
              <w:bottom w:val="single" w:sz="4" w:space="0" w:color="000000"/>
              <w:right w:val="single" w:sz="4" w:space="0" w:color="000000"/>
            </w:tcBorders>
            <w:vAlign w:val="center"/>
          </w:tcPr>
          <w:p w14:paraId="7955271A" w14:textId="77777777" w:rsidR="0075369D" w:rsidRDefault="00000000">
            <w:pPr>
              <w:widowControl/>
              <w:spacing w:line="360" w:lineRule="auto"/>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输出物1：应用的代码审计、源代码审计报告；时间：每月完成相关应用的代码审计，结束后5个工作日内提交报告；频次：例行每月1次，按需不定期</w:t>
            </w:r>
            <w:r>
              <w:rPr>
                <w:rFonts w:ascii="宋体" w:hAnsi="宋体" w:cs="宋体" w:hint="eastAsia"/>
                <w:color w:val="000000"/>
                <w:kern w:val="0"/>
                <w:szCs w:val="21"/>
                <w:lang w:bidi="ar"/>
              </w:rPr>
              <w:br/>
              <w:t>输出物2：系统主机漏洞扫描报告；时间：每月完成相关主机系统的漏洞扫描，结束后5个工作日内提交报告；频次：例行每月1次，按需不定期</w:t>
            </w:r>
            <w:r>
              <w:rPr>
                <w:rFonts w:ascii="宋体" w:hAnsi="宋体" w:cs="宋体" w:hint="eastAsia"/>
                <w:color w:val="000000"/>
                <w:kern w:val="0"/>
                <w:szCs w:val="21"/>
                <w:lang w:bidi="ar"/>
              </w:rPr>
              <w:br/>
              <w:t>输出物3：应用系统风险评估报告（渗透测试）；时间：执行结束后3个工作日提供；频次：例行每季1次暴露面系统，按需不定期</w:t>
            </w:r>
            <w:r>
              <w:rPr>
                <w:rFonts w:ascii="宋体" w:hAnsi="宋体" w:cs="宋体" w:hint="eastAsia"/>
                <w:color w:val="000000"/>
                <w:kern w:val="0"/>
                <w:szCs w:val="21"/>
                <w:lang w:bidi="ar"/>
              </w:rPr>
              <w:br/>
              <w:t>输出物4：新上线业务、新项目安全风险评估报告、安全漏洞检测报告；时间：执行结束后3个工作日提供；频次：按需不定期</w:t>
            </w:r>
          </w:p>
          <w:p w14:paraId="11FA529C" w14:textId="77777777" w:rsidR="0075369D" w:rsidRDefault="00000000">
            <w:pPr>
              <w:widowControl/>
              <w:spacing w:line="360" w:lineRule="auto"/>
              <w:textAlignment w:val="center"/>
              <w:rPr>
                <w:rFonts w:ascii="宋体" w:hAnsi="宋体" w:cs="宋体" w:hint="eastAsia"/>
                <w:color w:val="000000"/>
                <w:szCs w:val="21"/>
              </w:rPr>
            </w:pPr>
            <w:r>
              <w:rPr>
                <w:rFonts w:ascii="宋体" w:hAnsi="宋体" w:cs="宋体" w:hint="eastAsia"/>
                <w:color w:val="000000"/>
                <w:kern w:val="0"/>
                <w:szCs w:val="21"/>
                <w:lang w:bidi="ar"/>
              </w:rPr>
              <w:t>输出物5：软件成分分析安全评估报告；时间：按需；频次：按需不定期</w:t>
            </w:r>
          </w:p>
        </w:tc>
      </w:tr>
      <w:tr w:rsidR="0075369D" w14:paraId="03E4ED80" w14:textId="77777777">
        <w:trPr>
          <w:trHeight w:val="940"/>
        </w:trPr>
        <w:tc>
          <w:tcPr>
            <w:tcW w:w="681" w:type="pct"/>
            <w:vMerge/>
            <w:tcBorders>
              <w:left w:val="single" w:sz="4" w:space="0" w:color="000000"/>
              <w:right w:val="single" w:sz="4" w:space="0" w:color="000000"/>
            </w:tcBorders>
            <w:vAlign w:val="center"/>
          </w:tcPr>
          <w:p w14:paraId="6BF24CB5" w14:textId="77777777" w:rsidR="0075369D" w:rsidRDefault="0075369D">
            <w:pPr>
              <w:spacing w:line="360" w:lineRule="auto"/>
              <w:rPr>
                <w:rFonts w:ascii="宋体" w:hAnsi="宋体" w:cs="宋体" w:hint="eastAsia"/>
                <w:color w:val="000000"/>
                <w:szCs w:val="21"/>
              </w:rPr>
            </w:pPr>
          </w:p>
        </w:tc>
        <w:tc>
          <w:tcPr>
            <w:tcW w:w="700" w:type="pct"/>
            <w:tcBorders>
              <w:top w:val="single" w:sz="4" w:space="0" w:color="000000"/>
              <w:left w:val="single" w:sz="4" w:space="0" w:color="000000"/>
              <w:bottom w:val="single" w:sz="4" w:space="0" w:color="000000"/>
              <w:right w:val="single" w:sz="4" w:space="0" w:color="000000"/>
            </w:tcBorders>
            <w:vAlign w:val="center"/>
          </w:tcPr>
          <w:p w14:paraId="4975AF71" w14:textId="77777777" w:rsidR="0075369D" w:rsidRDefault="00000000">
            <w:pPr>
              <w:widowControl/>
              <w:spacing w:line="360" w:lineRule="auto"/>
              <w:jc w:val="center"/>
              <w:textAlignment w:val="center"/>
              <w:rPr>
                <w:rFonts w:ascii="宋体" w:hAnsi="宋体" w:cs="宋体" w:hint="eastAsia"/>
                <w:color w:val="000000"/>
                <w:szCs w:val="21"/>
              </w:rPr>
            </w:pPr>
            <w:r>
              <w:rPr>
                <w:rFonts w:ascii="宋体" w:hAnsi="宋体" w:cs="宋体" w:hint="eastAsia"/>
                <w:color w:val="000000"/>
                <w:kern w:val="0"/>
                <w:szCs w:val="21"/>
                <w:lang w:bidi="ar"/>
              </w:rPr>
              <w:t>安全合规管理</w:t>
            </w:r>
          </w:p>
        </w:tc>
        <w:tc>
          <w:tcPr>
            <w:tcW w:w="3617" w:type="pct"/>
            <w:tcBorders>
              <w:top w:val="single" w:sz="4" w:space="0" w:color="000000"/>
              <w:left w:val="single" w:sz="4" w:space="0" w:color="000000"/>
              <w:bottom w:val="single" w:sz="4" w:space="0" w:color="000000"/>
              <w:right w:val="single" w:sz="4" w:space="0" w:color="000000"/>
            </w:tcBorders>
            <w:vAlign w:val="center"/>
          </w:tcPr>
          <w:p w14:paraId="42D86D46" w14:textId="77777777" w:rsidR="0075369D" w:rsidRDefault="00000000">
            <w:pPr>
              <w:widowControl/>
              <w:spacing w:line="360" w:lineRule="auto"/>
              <w:textAlignment w:val="center"/>
              <w:rPr>
                <w:rFonts w:ascii="宋体" w:hAnsi="宋体" w:cs="宋体" w:hint="eastAsia"/>
                <w:color w:val="000000"/>
                <w:szCs w:val="21"/>
              </w:rPr>
            </w:pPr>
            <w:r>
              <w:rPr>
                <w:rFonts w:ascii="宋体" w:hAnsi="宋体" w:cs="宋体" w:hint="eastAsia"/>
                <w:color w:val="000000"/>
                <w:kern w:val="0"/>
                <w:szCs w:val="21"/>
                <w:lang w:bidi="ar"/>
              </w:rPr>
              <w:t>输出物1：业务系统工信部定级报告、备案表；时间：定级备案工作前7个工作日；频次：例行每年1次，按需不定期</w:t>
            </w:r>
            <w:r>
              <w:rPr>
                <w:rFonts w:ascii="宋体" w:hAnsi="宋体" w:cs="宋体" w:hint="eastAsia"/>
                <w:color w:val="000000"/>
                <w:kern w:val="0"/>
                <w:szCs w:val="21"/>
                <w:lang w:bidi="ar"/>
              </w:rPr>
              <w:br/>
              <w:t>输出物2：迎检方案、迎检自查报告；时间：检查前7个工作日；频次：例行每年1次，按需不定期</w:t>
            </w:r>
          </w:p>
        </w:tc>
      </w:tr>
      <w:tr w:rsidR="0075369D" w14:paraId="18C924E2" w14:textId="77777777">
        <w:trPr>
          <w:trHeight w:val="430"/>
        </w:trPr>
        <w:tc>
          <w:tcPr>
            <w:tcW w:w="681" w:type="pct"/>
            <w:vMerge/>
            <w:tcBorders>
              <w:left w:val="single" w:sz="4" w:space="0" w:color="000000"/>
              <w:right w:val="single" w:sz="4" w:space="0" w:color="000000"/>
            </w:tcBorders>
            <w:vAlign w:val="center"/>
          </w:tcPr>
          <w:p w14:paraId="0077FD87" w14:textId="77777777" w:rsidR="0075369D" w:rsidRDefault="0075369D">
            <w:pPr>
              <w:spacing w:line="360" w:lineRule="auto"/>
              <w:rPr>
                <w:rFonts w:ascii="宋体" w:hAnsi="宋体" w:cs="宋体" w:hint="eastAsia"/>
                <w:color w:val="000000"/>
                <w:szCs w:val="21"/>
              </w:rPr>
            </w:pPr>
          </w:p>
        </w:tc>
        <w:tc>
          <w:tcPr>
            <w:tcW w:w="700" w:type="pct"/>
            <w:tcBorders>
              <w:top w:val="single" w:sz="4" w:space="0" w:color="000000"/>
              <w:left w:val="single" w:sz="4" w:space="0" w:color="000000"/>
              <w:bottom w:val="single" w:sz="4" w:space="0" w:color="000000"/>
              <w:right w:val="single" w:sz="4" w:space="0" w:color="000000"/>
            </w:tcBorders>
            <w:vAlign w:val="center"/>
          </w:tcPr>
          <w:p w14:paraId="1645D619" w14:textId="77777777" w:rsidR="0075369D" w:rsidRDefault="00000000">
            <w:pPr>
              <w:widowControl/>
              <w:spacing w:line="360" w:lineRule="auto"/>
              <w:jc w:val="center"/>
              <w:textAlignment w:val="center"/>
              <w:rPr>
                <w:rFonts w:ascii="宋体" w:hAnsi="宋体" w:cs="宋体" w:hint="eastAsia"/>
                <w:color w:val="000000"/>
                <w:szCs w:val="21"/>
              </w:rPr>
            </w:pPr>
            <w:r>
              <w:rPr>
                <w:rFonts w:ascii="宋体" w:hAnsi="宋体" w:cs="宋体" w:hint="eastAsia"/>
                <w:color w:val="000000"/>
                <w:kern w:val="0"/>
                <w:szCs w:val="21"/>
                <w:lang w:bidi="ar"/>
              </w:rPr>
              <w:t>安全设备运营</w:t>
            </w:r>
          </w:p>
        </w:tc>
        <w:tc>
          <w:tcPr>
            <w:tcW w:w="3617" w:type="pct"/>
            <w:tcBorders>
              <w:top w:val="single" w:sz="4" w:space="0" w:color="000000"/>
              <w:left w:val="single" w:sz="4" w:space="0" w:color="000000"/>
              <w:bottom w:val="single" w:sz="4" w:space="0" w:color="000000"/>
              <w:right w:val="single" w:sz="4" w:space="0" w:color="000000"/>
            </w:tcBorders>
            <w:vAlign w:val="center"/>
          </w:tcPr>
          <w:p w14:paraId="10333D73" w14:textId="77777777" w:rsidR="0075369D" w:rsidRDefault="00000000">
            <w:pPr>
              <w:widowControl/>
              <w:spacing w:line="360" w:lineRule="auto"/>
              <w:textAlignment w:val="center"/>
              <w:rPr>
                <w:rFonts w:ascii="宋体" w:hAnsi="宋体" w:cs="宋体" w:hint="eastAsia"/>
                <w:color w:val="000000"/>
                <w:szCs w:val="21"/>
              </w:rPr>
            </w:pPr>
            <w:r>
              <w:rPr>
                <w:rFonts w:ascii="宋体" w:hAnsi="宋体" w:cs="宋体" w:hint="eastAsia"/>
                <w:color w:val="000000"/>
                <w:kern w:val="0"/>
                <w:szCs w:val="21"/>
                <w:lang w:bidi="ar"/>
              </w:rPr>
              <w:t>输出物1：创新院安全设备资产的策略配置清单，优化建议；时间：执行结束后3个工作日内；频次：例行每季1次，按需不定期</w:t>
            </w:r>
            <w:r>
              <w:rPr>
                <w:rFonts w:ascii="宋体" w:hAnsi="宋体" w:cs="宋体" w:hint="eastAsia"/>
                <w:color w:val="000000"/>
                <w:kern w:val="0"/>
                <w:szCs w:val="21"/>
                <w:lang w:bidi="ar"/>
              </w:rPr>
              <w:br/>
              <w:t>输出物2：安全设备的故障处置建议；时间：按需；频次;按需；</w:t>
            </w:r>
            <w:r>
              <w:rPr>
                <w:rFonts w:ascii="宋体" w:hAnsi="宋体" w:cs="宋体" w:hint="eastAsia"/>
                <w:color w:val="000000"/>
                <w:kern w:val="0"/>
                <w:szCs w:val="21"/>
                <w:lang w:bidi="ar"/>
              </w:rPr>
              <w:br/>
            </w:r>
            <w:r>
              <w:rPr>
                <w:rFonts w:ascii="宋体" w:hAnsi="宋体" w:cs="宋体" w:hint="eastAsia"/>
                <w:color w:val="000000"/>
                <w:kern w:val="0"/>
                <w:szCs w:val="21"/>
                <w:lang w:bidi="ar"/>
              </w:rPr>
              <w:lastRenderedPageBreak/>
              <w:t>输出物3：安全设备的数据上报，包括事件报告等；时间：执行结束后3个工作日内；频次：例行每月1次，按需不定期</w:t>
            </w:r>
          </w:p>
        </w:tc>
      </w:tr>
      <w:tr w:rsidR="0075369D" w14:paraId="62C27460" w14:textId="77777777">
        <w:trPr>
          <w:trHeight w:val="1140"/>
        </w:trPr>
        <w:tc>
          <w:tcPr>
            <w:tcW w:w="681" w:type="pct"/>
            <w:vMerge/>
            <w:tcBorders>
              <w:left w:val="single" w:sz="4" w:space="0" w:color="000000"/>
              <w:right w:val="single" w:sz="4" w:space="0" w:color="000000"/>
            </w:tcBorders>
            <w:vAlign w:val="center"/>
          </w:tcPr>
          <w:p w14:paraId="7798A17E" w14:textId="77777777" w:rsidR="0075369D" w:rsidRDefault="0075369D">
            <w:pPr>
              <w:spacing w:line="360" w:lineRule="auto"/>
              <w:rPr>
                <w:rFonts w:ascii="宋体" w:hAnsi="宋体" w:cs="宋体" w:hint="eastAsia"/>
                <w:color w:val="000000"/>
                <w:szCs w:val="21"/>
              </w:rPr>
            </w:pPr>
          </w:p>
        </w:tc>
        <w:tc>
          <w:tcPr>
            <w:tcW w:w="700" w:type="pct"/>
            <w:tcBorders>
              <w:top w:val="single" w:sz="4" w:space="0" w:color="000000"/>
              <w:left w:val="single" w:sz="4" w:space="0" w:color="000000"/>
              <w:bottom w:val="single" w:sz="4" w:space="0" w:color="000000"/>
              <w:right w:val="single" w:sz="4" w:space="0" w:color="000000"/>
            </w:tcBorders>
            <w:vAlign w:val="center"/>
          </w:tcPr>
          <w:p w14:paraId="3578477D" w14:textId="77777777" w:rsidR="0075369D" w:rsidRDefault="00000000">
            <w:pPr>
              <w:widowControl/>
              <w:spacing w:line="360" w:lineRule="auto"/>
              <w:jc w:val="center"/>
              <w:textAlignment w:val="center"/>
              <w:rPr>
                <w:rFonts w:ascii="宋体" w:hAnsi="宋体" w:cs="宋体" w:hint="eastAsia"/>
                <w:color w:val="000000"/>
                <w:szCs w:val="21"/>
              </w:rPr>
            </w:pPr>
            <w:r>
              <w:rPr>
                <w:rFonts w:ascii="宋体" w:hAnsi="宋体" w:cs="宋体" w:hint="eastAsia"/>
                <w:color w:val="000000"/>
                <w:kern w:val="0"/>
                <w:szCs w:val="21"/>
                <w:lang w:bidi="ar"/>
              </w:rPr>
              <w:t>重大活动安全保障</w:t>
            </w:r>
          </w:p>
        </w:tc>
        <w:tc>
          <w:tcPr>
            <w:tcW w:w="3617" w:type="pct"/>
            <w:tcBorders>
              <w:top w:val="single" w:sz="4" w:space="0" w:color="000000"/>
              <w:left w:val="single" w:sz="4" w:space="0" w:color="000000"/>
              <w:bottom w:val="single" w:sz="4" w:space="0" w:color="000000"/>
              <w:right w:val="single" w:sz="4" w:space="0" w:color="000000"/>
            </w:tcBorders>
            <w:vAlign w:val="center"/>
          </w:tcPr>
          <w:p w14:paraId="625B4712" w14:textId="77777777" w:rsidR="0075369D" w:rsidRDefault="00000000">
            <w:pPr>
              <w:widowControl/>
              <w:spacing w:line="360" w:lineRule="auto"/>
              <w:textAlignment w:val="center"/>
              <w:rPr>
                <w:rFonts w:ascii="宋体" w:hAnsi="宋体" w:cs="宋体" w:hint="eastAsia"/>
                <w:color w:val="000000"/>
                <w:szCs w:val="21"/>
              </w:rPr>
            </w:pPr>
            <w:r>
              <w:rPr>
                <w:rFonts w:ascii="宋体" w:hAnsi="宋体" w:cs="宋体" w:hint="eastAsia"/>
                <w:color w:val="000000"/>
                <w:kern w:val="0"/>
                <w:szCs w:val="21"/>
                <w:lang w:bidi="ar"/>
              </w:rPr>
              <w:t>输出物1：重大活动保前计划方案。时间：重大活动保障前7个工作日内完成定稿；频次：按需不定期</w:t>
            </w:r>
            <w:r>
              <w:rPr>
                <w:rFonts w:ascii="宋体" w:hAnsi="宋体" w:cs="宋体" w:hint="eastAsia"/>
                <w:color w:val="000000"/>
                <w:kern w:val="0"/>
                <w:szCs w:val="21"/>
                <w:lang w:bidi="ar"/>
              </w:rPr>
              <w:br/>
              <w:t>输出物2：重大活动保中材料，如值班表、溯源报告、排查事件等。时间：重大活动保障过程执行中期按需；频次：按需不定期</w:t>
            </w:r>
            <w:r>
              <w:rPr>
                <w:rFonts w:ascii="宋体" w:hAnsi="宋体" w:cs="宋体" w:hint="eastAsia"/>
                <w:color w:val="000000"/>
                <w:kern w:val="0"/>
                <w:szCs w:val="21"/>
                <w:lang w:bidi="ar"/>
              </w:rPr>
              <w:br/>
              <w:t>输出物3：重大活动保后总结报告；时间：重大活动保障后5个工作日内完成；频次：按需不定期</w:t>
            </w:r>
          </w:p>
        </w:tc>
      </w:tr>
      <w:tr w:rsidR="0075369D" w14:paraId="2BEB3FB1" w14:textId="77777777">
        <w:trPr>
          <w:trHeight w:val="285"/>
        </w:trPr>
        <w:tc>
          <w:tcPr>
            <w:tcW w:w="681" w:type="pct"/>
            <w:vMerge/>
            <w:tcBorders>
              <w:left w:val="single" w:sz="4" w:space="0" w:color="000000"/>
              <w:right w:val="single" w:sz="4" w:space="0" w:color="000000"/>
            </w:tcBorders>
            <w:vAlign w:val="center"/>
          </w:tcPr>
          <w:p w14:paraId="58F763DC" w14:textId="77777777" w:rsidR="0075369D" w:rsidRDefault="0075369D">
            <w:pPr>
              <w:spacing w:line="360" w:lineRule="auto"/>
              <w:rPr>
                <w:rFonts w:ascii="宋体" w:hAnsi="宋体" w:cs="宋体" w:hint="eastAsia"/>
                <w:color w:val="000000"/>
                <w:szCs w:val="21"/>
              </w:rPr>
            </w:pPr>
          </w:p>
        </w:tc>
        <w:tc>
          <w:tcPr>
            <w:tcW w:w="700" w:type="pct"/>
            <w:tcBorders>
              <w:top w:val="single" w:sz="4" w:space="0" w:color="000000"/>
              <w:left w:val="single" w:sz="4" w:space="0" w:color="000000"/>
              <w:bottom w:val="single" w:sz="4" w:space="0" w:color="000000"/>
              <w:right w:val="single" w:sz="4" w:space="0" w:color="000000"/>
            </w:tcBorders>
            <w:vAlign w:val="center"/>
          </w:tcPr>
          <w:p w14:paraId="25BED8B9" w14:textId="77777777" w:rsidR="0075369D" w:rsidRDefault="00000000">
            <w:pPr>
              <w:widowControl/>
              <w:spacing w:line="360" w:lineRule="auto"/>
              <w:jc w:val="center"/>
              <w:textAlignment w:val="center"/>
              <w:rPr>
                <w:rFonts w:ascii="宋体" w:hAnsi="宋体" w:cs="宋体" w:hint="eastAsia"/>
                <w:color w:val="000000"/>
                <w:szCs w:val="21"/>
              </w:rPr>
            </w:pPr>
            <w:r>
              <w:rPr>
                <w:rFonts w:ascii="宋体" w:hAnsi="宋体" w:cs="宋体" w:hint="eastAsia"/>
                <w:color w:val="000000"/>
                <w:kern w:val="0"/>
                <w:szCs w:val="21"/>
                <w:lang w:bidi="ar"/>
              </w:rPr>
              <w:t>应急响应处置</w:t>
            </w:r>
          </w:p>
        </w:tc>
        <w:tc>
          <w:tcPr>
            <w:tcW w:w="3617" w:type="pct"/>
            <w:tcBorders>
              <w:top w:val="single" w:sz="4" w:space="0" w:color="000000"/>
              <w:left w:val="single" w:sz="4" w:space="0" w:color="000000"/>
              <w:bottom w:val="single" w:sz="4" w:space="0" w:color="000000"/>
              <w:right w:val="single" w:sz="4" w:space="0" w:color="000000"/>
            </w:tcBorders>
            <w:vAlign w:val="center"/>
          </w:tcPr>
          <w:p w14:paraId="2D22ADDF" w14:textId="77777777" w:rsidR="0075369D" w:rsidRDefault="00000000">
            <w:pPr>
              <w:widowControl/>
              <w:spacing w:line="360" w:lineRule="auto"/>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输出物1：安全事件调查取证报告；时间：事件调查完成后2个工作日；频次：按需不定期</w:t>
            </w:r>
          </w:p>
          <w:p w14:paraId="258CF6F8" w14:textId="77777777" w:rsidR="0075369D" w:rsidRDefault="00000000">
            <w:pPr>
              <w:widowControl/>
              <w:spacing w:line="360" w:lineRule="auto"/>
              <w:textAlignment w:val="center"/>
              <w:rPr>
                <w:rFonts w:ascii="宋体" w:hAnsi="宋体" w:cs="宋体" w:hint="eastAsia"/>
                <w:color w:val="000000"/>
                <w:szCs w:val="21"/>
              </w:rPr>
            </w:pPr>
            <w:r>
              <w:rPr>
                <w:rFonts w:ascii="宋体" w:hAnsi="宋体" w:cs="宋体" w:hint="eastAsia"/>
                <w:color w:val="000000"/>
                <w:kern w:val="0"/>
                <w:szCs w:val="21"/>
                <w:lang w:bidi="ar"/>
              </w:rPr>
              <w:t>输出物2：应急演练预案和应急演练报告；频次：按需不定期</w:t>
            </w:r>
          </w:p>
        </w:tc>
      </w:tr>
      <w:tr w:rsidR="0075369D" w14:paraId="7825F442" w14:textId="77777777">
        <w:trPr>
          <w:trHeight w:val="285"/>
        </w:trPr>
        <w:tc>
          <w:tcPr>
            <w:tcW w:w="681" w:type="pct"/>
            <w:vMerge/>
            <w:tcBorders>
              <w:left w:val="single" w:sz="4" w:space="0" w:color="000000"/>
              <w:right w:val="single" w:sz="4" w:space="0" w:color="000000"/>
            </w:tcBorders>
            <w:vAlign w:val="center"/>
          </w:tcPr>
          <w:p w14:paraId="7AF73A98" w14:textId="77777777" w:rsidR="0075369D" w:rsidRDefault="0075369D">
            <w:pPr>
              <w:spacing w:line="360" w:lineRule="auto"/>
              <w:rPr>
                <w:rFonts w:ascii="宋体" w:hAnsi="宋体" w:cs="宋体" w:hint="eastAsia"/>
                <w:color w:val="000000"/>
                <w:szCs w:val="21"/>
              </w:rPr>
            </w:pPr>
          </w:p>
        </w:tc>
        <w:tc>
          <w:tcPr>
            <w:tcW w:w="700" w:type="pct"/>
            <w:tcBorders>
              <w:top w:val="single" w:sz="4" w:space="0" w:color="000000"/>
              <w:left w:val="single" w:sz="4" w:space="0" w:color="000000"/>
              <w:bottom w:val="single" w:sz="4" w:space="0" w:color="000000"/>
              <w:right w:val="single" w:sz="4" w:space="0" w:color="000000"/>
            </w:tcBorders>
            <w:vAlign w:val="center"/>
          </w:tcPr>
          <w:p w14:paraId="798FDC7D" w14:textId="77777777" w:rsidR="0075369D" w:rsidRDefault="00000000">
            <w:pPr>
              <w:widowControl/>
              <w:spacing w:line="360" w:lineRule="auto"/>
              <w:jc w:val="center"/>
              <w:textAlignment w:val="center"/>
              <w:rPr>
                <w:rFonts w:ascii="宋体" w:hAnsi="宋体" w:cs="宋体" w:hint="eastAsia"/>
                <w:color w:val="000000"/>
                <w:szCs w:val="21"/>
              </w:rPr>
            </w:pPr>
            <w:r>
              <w:rPr>
                <w:rFonts w:ascii="宋体" w:hAnsi="宋体" w:cs="宋体" w:hint="eastAsia"/>
                <w:color w:val="000000"/>
                <w:kern w:val="0"/>
                <w:szCs w:val="21"/>
                <w:lang w:bidi="ar"/>
              </w:rPr>
              <w:t>攻防演练服务</w:t>
            </w:r>
          </w:p>
        </w:tc>
        <w:tc>
          <w:tcPr>
            <w:tcW w:w="3617" w:type="pct"/>
            <w:tcBorders>
              <w:top w:val="single" w:sz="4" w:space="0" w:color="000000"/>
              <w:left w:val="single" w:sz="4" w:space="0" w:color="000000"/>
              <w:bottom w:val="single" w:sz="4" w:space="0" w:color="000000"/>
              <w:right w:val="single" w:sz="4" w:space="0" w:color="000000"/>
            </w:tcBorders>
            <w:vAlign w:val="center"/>
          </w:tcPr>
          <w:p w14:paraId="1F0AB09B" w14:textId="77777777" w:rsidR="0075369D" w:rsidRDefault="00000000">
            <w:pPr>
              <w:widowControl/>
              <w:spacing w:line="360" w:lineRule="auto"/>
              <w:textAlignment w:val="center"/>
              <w:rPr>
                <w:rFonts w:ascii="宋体" w:hAnsi="宋体" w:cs="宋体" w:hint="eastAsia"/>
                <w:color w:val="000000"/>
                <w:szCs w:val="21"/>
              </w:rPr>
            </w:pPr>
            <w:r>
              <w:rPr>
                <w:rFonts w:ascii="宋体" w:hAnsi="宋体" w:cs="宋体" w:hint="eastAsia"/>
                <w:color w:val="000000"/>
                <w:kern w:val="0"/>
                <w:szCs w:val="21"/>
                <w:lang w:bidi="ar"/>
              </w:rPr>
              <w:t>输出物1：攻防演练预案和攻防演练报告；时间：按需不定期</w:t>
            </w:r>
          </w:p>
        </w:tc>
      </w:tr>
      <w:tr w:rsidR="0075369D" w14:paraId="0A237547" w14:textId="77777777">
        <w:trPr>
          <w:trHeight w:val="570"/>
        </w:trPr>
        <w:tc>
          <w:tcPr>
            <w:tcW w:w="681" w:type="pct"/>
            <w:vMerge/>
            <w:tcBorders>
              <w:left w:val="single" w:sz="4" w:space="0" w:color="000000"/>
              <w:right w:val="single" w:sz="4" w:space="0" w:color="000000"/>
            </w:tcBorders>
            <w:vAlign w:val="center"/>
          </w:tcPr>
          <w:p w14:paraId="631892E4" w14:textId="77777777" w:rsidR="0075369D" w:rsidRDefault="0075369D">
            <w:pPr>
              <w:spacing w:line="360" w:lineRule="auto"/>
              <w:rPr>
                <w:rFonts w:ascii="宋体" w:hAnsi="宋体" w:cs="宋体" w:hint="eastAsia"/>
                <w:color w:val="000000"/>
                <w:szCs w:val="21"/>
              </w:rPr>
            </w:pPr>
          </w:p>
        </w:tc>
        <w:tc>
          <w:tcPr>
            <w:tcW w:w="700" w:type="pct"/>
            <w:tcBorders>
              <w:top w:val="single" w:sz="4" w:space="0" w:color="000000"/>
              <w:left w:val="single" w:sz="4" w:space="0" w:color="000000"/>
              <w:bottom w:val="single" w:sz="4" w:space="0" w:color="000000"/>
              <w:right w:val="single" w:sz="4" w:space="0" w:color="000000"/>
            </w:tcBorders>
            <w:vAlign w:val="center"/>
          </w:tcPr>
          <w:p w14:paraId="40C82C0A" w14:textId="43B44BFB" w:rsidR="0075369D" w:rsidRDefault="00000000">
            <w:pPr>
              <w:widowControl/>
              <w:spacing w:line="360" w:lineRule="auto"/>
              <w:jc w:val="center"/>
              <w:textAlignment w:val="center"/>
              <w:rPr>
                <w:rFonts w:ascii="宋体" w:hAnsi="宋体" w:cs="宋体" w:hint="eastAsia"/>
                <w:color w:val="000000"/>
                <w:szCs w:val="21"/>
              </w:rPr>
            </w:pPr>
            <w:r>
              <w:rPr>
                <w:rFonts w:ascii="宋体" w:hAnsi="宋体" w:cs="宋体" w:hint="eastAsia"/>
                <w:color w:val="000000"/>
                <w:kern w:val="0"/>
                <w:szCs w:val="21"/>
                <w:lang w:bidi="ar"/>
              </w:rPr>
              <w:t>安全事件监测</w:t>
            </w:r>
            <w:r w:rsidR="002272CF">
              <w:rPr>
                <w:rFonts w:ascii="宋体" w:hAnsi="宋体" w:cs="宋体" w:hint="eastAsia"/>
                <w:color w:val="000000"/>
                <w:kern w:val="0"/>
                <w:szCs w:val="21"/>
                <w:lang w:bidi="ar"/>
              </w:rPr>
              <w:t>分析</w:t>
            </w:r>
          </w:p>
        </w:tc>
        <w:tc>
          <w:tcPr>
            <w:tcW w:w="3617" w:type="pct"/>
            <w:tcBorders>
              <w:top w:val="single" w:sz="4" w:space="0" w:color="000000"/>
              <w:left w:val="single" w:sz="4" w:space="0" w:color="000000"/>
              <w:bottom w:val="single" w:sz="4" w:space="0" w:color="000000"/>
              <w:right w:val="single" w:sz="4" w:space="0" w:color="000000"/>
            </w:tcBorders>
            <w:vAlign w:val="center"/>
          </w:tcPr>
          <w:p w14:paraId="23471F9D" w14:textId="77777777" w:rsidR="0075369D" w:rsidRDefault="00000000">
            <w:pPr>
              <w:widowControl/>
              <w:spacing w:line="360" w:lineRule="auto"/>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输出物1：日常安全事件报告，包括设备监测的结果、事件分析情况、处置建议等。时间：执行介绍后3个工作日内提供；频次：每周例行1次，按需不定期</w:t>
            </w:r>
          </w:p>
          <w:p w14:paraId="5A4E5519" w14:textId="77777777" w:rsidR="0075369D" w:rsidRDefault="00000000">
            <w:pPr>
              <w:widowControl/>
              <w:spacing w:line="360" w:lineRule="auto"/>
              <w:textAlignment w:val="center"/>
              <w:rPr>
                <w:rFonts w:ascii="宋体" w:hAnsi="宋体" w:cs="宋体" w:hint="eastAsia"/>
                <w:color w:val="000000"/>
                <w:szCs w:val="21"/>
              </w:rPr>
            </w:pPr>
            <w:r>
              <w:rPr>
                <w:rFonts w:ascii="宋体" w:hAnsi="宋体" w:cs="宋体" w:hint="eastAsia"/>
                <w:color w:val="000000"/>
                <w:kern w:val="0"/>
                <w:szCs w:val="21"/>
                <w:lang w:bidi="ar"/>
              </w:rPr>
              <w:t>输出物2：安全威胁情报，加固策略配置建议；频次：按需不定期</w:t>
            </w:r>
          </w:p>
        </w:tc>
      </w:tr>
      <w:tr w:rsidR="0075369D" w14:paraId="36E5BCBA" w14:textId="77777777">
        <w:trPr>
          <w:trHeight w:val="570"/>
        </w:trPr>
        <w:tc>
          <w:tcPr>
            <w:tcW w:w="681" w:type="pct"/>
            <w:vMerge/>
            <w:tcBorders>
              <w:left w:val="single" w:sz="4" w:space="0" w:color="000000"/>
              <w:right w:val="single" w:sz="4" w:space="0" w:color="000000"/>
            </w:tcBorders>
            <w:vAlign w:val="center"/>
          </w:tcPr>
          <w:p w14:paraId="2393C9EE" w14:textId="77777777" w:rsidR="0075369D" w:rsidRDefault="0075369D">
            <w:pPr>
              <w:spacing w:line="360" w:lineRule="auto"/>
              <w:rPr>
                <w:rFonts w:ascii="宋体" w:hAnsi="宋体" w:cs="宋体" w:hint="eastAsia"/>
                <w:color w:val="000000"/>
                <w:szCs w:val="21"/>
              </w:rPr>
            </w:pPr>
          </w:p>
        </w:tc>
        <w:tc>
          <w:tcPr>
            <w:tcW w:w="700" w:type="pct"/>
            <w:tcBorders>
              <w:top w:val="single" w:sz="4" w:space="0" w:color="000000"/>
              <w:left w:val="single" w:sz="4" w:space="0" w:color="000000"/>
              <w:bottom w:val="single" w:sz="4" w:space="0" w:color="000000"/>
              <w:right w:val="single" w:sz="4" w:space="0" w:color="000000"/>
            </w:tcBorders>
            <w:vAlign w:val="center"/>
          </w:tcPr>
          <w:p w14:paraId="1F583C27" w14:textId="77777777" w:rsidR="0075369D" w:rsidRDefault="00000000">
            <w:pPr>
              <w:widowControl/>
              <w:jc w:val="center"/>
              <w:textAlignment w:val="center"/>
              <w:rPr>
                <w:rFonts w:ascii="宋体" w:hAnsi="宋体" w:cs="宋体" w:hint="eastAsia"/>
                <w:color w:val="000000"/>
                <w:kern w:val="0"/>
                <w:szCs w:val="21"/>
                <w:highlight w:val="yellow"/>
                <w:lang w:bidi="ar"/>
              </w:rPr>
            </w:pPr>
            <w:r>
              <w:rPr>
                <w:rFonts w:ascii="宋体" w:hAnsi="宋体" w:cs="宋体" w:hint="eastAsia"/>
                <w:color w:val="000000"/>
                <w:kern w:val="0"/>
                <w:szCs w:val="21"/>
                <w:lang w:bidi="ar"/>
              </w:rPr>
              <w:t>网络安全管理与运营支撑</w:t>
            </w:r>
          </w:p>
        </w:tc>
        <w:tc>
          <w:tcPr>
            <w:tcW w:w="3617" w:type="pct"/>
            <w:tcBorders>
              <w:top w:val="single" w:sz="4" w:space="0" w:color="000000"/>
              <w:left w:val="single" w:sz="4" w:space="0" w:color="000000"/>
              <w:bottom w:val="single" w:sz="4" w:space="0" w:color="000000"/>
              <w:right w:val="single" w:sz="4" w:space="0" w:color="000000"/>
            </w:tcBorders>
            <w:vAlign w:val="center"/>
          </w:tcPr>
          <w:p w14:paraId="5BDE4417" w14:textId="77777777" w:rsidR="0075369D" w:rsidRDefault="00000000">
            <w:pPr>
              <w:widowControl/>
              <w:spacing w:line="360" w:lineRule="auto"/>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输出物1：网络安全管理规划报告；时间：按需；频次：按需；</w:t>
            </w:r>
          </w:p>
          <w:p w14:paraId="2CE70CE0" w14:textId="77777777" w:rsidR="0075369D" w:rsidRDefault="00000000">
            <w:pPr>
              <w:widowControl/>
              <w:spacing w:line="360" w:lineRule="auto"/>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输出物2：安全运营流程优化方案及线上化流程规范；时间：按需；频次：按需；</w:t>
            </w:r>
          </w:p>
        </w:tc>
      </w:tr>
      <w:tr w:rsidR="0075369D" w14:paraId="6FA2E8CC" w14:textId="77777777">
        <w:trPr>
          <w:trHeight w:val="570"/>
        </w:trPr>
        <w:tc>
          <w:tcPr>
            <w:tcW w:w="681" w:type="pct"/>
            <w:vMerge/>
            <w:tcBorders>
              <w:left w:val="single" w:sz="4" w:space="0" w:color="000000"/>
              <w:bottom w:val="single" w:sz="4" w:space="0" w:color="000000"/>
              <w:right w:val="single" w:sz="4" w:space="0" w:color="000000"/>
            </w:tcBorders>
            <w:vAlign w:val="center"/>
          </w:tcPr>
          <w:p w14:paraId="548D69D2" w14:textId="77777777" w:rsidR="0075369D" w:rsidRDefault="0075369D">
            <w:pPr>
              <w:spacing w:line="360" w:lineRule="auto"/>
              <w:rPr>
                <w:rFonts w:ascii="宋体" w:hAnsi="宋体" w:cs="宋体" w:hint="eastAsia"/>
                <w:color w:val="000000"/>
                <w:szCs w:val="21"/>
              </w:rPr>
            </w:pPr>
          </w:p>
        </w:tc>
        <w:tc>
          <w:tcPr>
            <w:tcW w:w="700" w:type="pct"/>
            <w:tcBorders>
              <w:top w:val="single" w:sz="4" w:space="0" w:color="000000"/>
              <w:left w:val="single" w:sz="4" w:space="0" w:color="000000"/>
              <w:bottom w:val="single" w:sz="4" w:space="0" w:color="000000"/>
              <w:right w:val="single" w:sz="4" w:space="0" w:color="000000"/>
            </w:tcBorders>
            <w:vAlign w:val="center"/>
          </w:tcPr>
          <w:p w14:paraId="0ED4AD47" w14:textId="77777777" w:rsidR="0075369D" w:rsidRDefault="00000000">
            <w:pPr>
              <w:widowControl/>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AI安全风险评估</w:t>
            </w:r>
          </w:p>
        </w:tc>
        <w:tc>
          <w:tcPr>
            <w:tcW w:w="3617" w:type="pct"/>
            <w:tcBorders>
              <w:top w:val="single" w:sz="4" w:space="0" w:color="000000"/>
              <w:left w:val="single" w:sz="4" w:space="0" w:color="000000"/>
              <w:bottom w:val="single" w:sz="4" w:space="0" w:color="000000"/>
              <w:right w:val="single" w:sz="4" w:space="0" w:color="000000"/>
            </w:tcBorders>
            <w:vAlign w:val="center"/>
          </w:tcPr>
          <w:p w14:paraId="77E37DBD" w14:textId="77777777" w:rsidR="0075369D" w:rsidRDefault="00000000">
            <w:pPr>
              <w:widowControl/>
              <w:spacing w:line="360" w:lineRule="auto"/>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输出物1: AI安全风险评估报告；时间；按需；频次：按需；</w:t>
            </w:r>
          </w:p>
        </w:tc>
      </w:tr>
    </w:tbl>
    <w:p w14:paraId="51E5FE43" w14:textId="77777777" w:rsidR="0075369D" w:rsidRDefault="0075369D">
      <w:pPr>
        <w:spacing w:line="360" w:lineRule="auto"/>
        <w:rPr>
          <w:rFonts w:ascii="宋体" w:hAnsi="宋体" w:hint="eastAsia"/>
          <w:sz w:val="24"/>
        </w:rPr>
      </w:pPr>
    </w:p>
    <w:p w14:paraId="5AB8DDF3" w14:textId="77777777" w:rsidR="0075369D" w:rsidRDefault="00000000">
      <w:pPr>
        <w:spacing w:line="360" w:lineRule="auto"/>
        <w:outlineLvl w:val="2"/>
        <w:rPr>
          <w:rFonts w:ascii="宋体" w:hAnsi="宋体" w:cs="宋体" w:hint="eastAsia"/>
          <w:b/>
          <w:sz w:val="24"/>
          <w:szCs w:val="22"/>
        </w:rPr>
      </w:pPr>
      <w:bookmarkStart w:id="188" w:name="_Toc12170"/>
      <w:bookmarkStart w:id="189" w:name="_Toc224208631"/>
      <w:bookmarkStart w:id="190" w:name="_Toc5097"/>
      <w:bookmarkStart w:id="191" w:name="_Toc1145"/>
      <w:bookmarkStart w:id="192" w:name="_Toc8677"/>
      <w:bookmarkStart w:id="193" w:name="_Toc68939681"/>
      <w:bookmarkStart w:id="194" w:name="_Toc45523274"/>
      <w:r>
        <w:rPr>
          <w:rFonts w:ascii="宋体" w:hAnsi="宋体" w:cs="宋体" w:hint="eastAsia"/>
          <w:b/>
          <w:sz w:val="24"/>
          <w:szCs w:val="22"/>
        </w:rPr>
        <w:t>2.2.3服务工作量</w:t>
      </w:r>
      <w:bookmarkEnd w:id="188"/>
      <w:bookmarkEnd w:id="189"/>
      <w:bookmarkEnd w:id="190"/>
      <w:bookmarkEnd w:id="191"/>
      <w:bookmarkEnd w:id="192"/>
    </w:p>
    <w:tbl>
      <w:tblPr>
        <w:tblW w:w="5000" w:type="pct"/>
        <w:tblLayout w:type="fixed"/>
        <w:tblLook w:val="04A0" w:firstRow="1" w:lastRow="0" w:firstColumn="1" w:lastColumn="0" w:noHBand="0" w:noVBand="1"/>
      </w:tblPr>
      <w:tblGrid>
        <w:gridCol w:w="408"/>
        <w:gridCol w:w="1113"/>
        <w:gridCol w:w="1074"/>
        <w:gridCol w:w="1092"/>
        <w:gridCol w:w="4609"/>
      </w:tblGrid>
      <w:tr w:rsidR="0075369D" w14:paraId="35DB33A7" w14:textId="77777777">
        <w:trPr>
          <w:trHeight w:val="1140"/>
        </w:trPr>
        <w:tc>
          <w:tcPr>
            <w:tcW w:w="246" w:type="pct"/>
            <w:tcBorders>
              <w:top w:val="single" w:sz="4" w:space="0" w:color="000000"/>
              <w:left w:val="single" w:sz="4" w:space="0" w:color="000000"/>
              <w:bottom w:val="single" w:sz="4" w:space="0" w:color="000000"/>
              <w:right w:val="single" w:sz="4" w:space="0" w:color="000000"/>
            </w:tcBorders>
            <w:shd w:val="clear" w:color="auto" w:fill="DBE5F1"/>
            <w:vAlign w:val="center"/>
          </w:tcPr>
          <w:p w14:paraId="012790A4" w14:textId="77777777" w:rsidR="0075369D" w:rsidRDefault="00000000">
            <w:pPr>
              <w:widowControl/>
              <w:spacing w:line="360" w:lineRule="auto"/>
              <w:jc w:val="center"/>
              <w:textAlignment w:val="center"/>
              <w:rPr>
                <w:rFonts w:ascii="宋体" w:hAnsi="宋体" w:cs="宋体" w:hint="eastAsia"/>
                <w:b/>
                <w:bCs/>
                <w:color w:val="000000"/>
                <w:szCs w:val="21"/>
              </w:rPr>
            </w:pPr>
            <w:r>
              <w:rPr>
                <w:rFonts w:ascii="宋体" w:hAnsi="宋体" w:cs="宋体" w:hint="eastAsia"/>
                <w:b/>
                <w:bCs/>
                <w:color w:val="000000"/>
                <w:kern w:val="0"/>
                <w:szCs w:val="21"/>
                <w:lang w:bidi="ar"/>
              </w:rPr>
              <w:t>序号</w:t>
            </w:r>
          </w:p>
        </w:tc>
        <w:tc>
          <w:tcPr>
            <w:tcW w:w="671" w:type="pct"/>
            <w:tcBorders>
              <w:top w:val="single" w:sz="4" w:space="0" w:color="000000"/>
              <w:left w:val="single" w:sz="4" w:space="0" w:color="000000"/>
              <w:bottom w:val="single" w:sz="4" w:space="0" w:color="000000"/>
              <w:right w:val="single" w:sz="4" w:space="0" w:color="000000"/>
            </w:tcBorders>
            <w:shd w:val="clear" w:color="auto" w:fill="DBE5F1"/>
            <w:vAlign w:val="center"/>
          </w:tcPr>
          <w:p w14:paraId="65E4A37D" w14:textId="77777777" w:rsidR="0075369D" w:rsidRDefault="00000000">
            <w:pPr>
              <w:widowControl/>
              <w:spacing w:line="360" w:lineRule="auto"/>
              <w:jc w:val="center"/>
              <w:textAlignment w:val="center"/>
              <w:rPr>
                <w:rFonts w:ascii="宋体" w:hAnsi="宋体" w:cs="宋体" w:hint="eastAsia"/>
                <w:b/>
                <w:bCs/>
                <w:color w:val="000000"/>
                <w:szCs w:val="21"/>
              </w:rPr>
            </w:pPr>
            <w:r>
              <w:rPr>
                <w:rFonts w:ascii="宋体" w:hAnsi="宋体" w:cs="宋体" w:hint="eastAsia"/>
                <w:b/>
                <w:bCs/>
                <w:color w:val="000000"/>
                <w:kern w:val="0"/>
                <w:szCs w:val="21"/>
                <w:lang w:bidi="ar"/>
              </w:rPr>
              <w:t>项目名称</w:t>
            </w:r>
          </w:p>
        </w:tc>
        <w:tc>
          <w:tcPr>
            <w:tcW w:w="645" w:type="pct"/>
            <w:tcBorders>
              <w:top w:val="single" w:sz="4" w:space="0" w:color="000000"/>
              <w:left w:val="single" w:sz="4" w:space="0" w:color="000000"/>
              <w:bottom w:val="single" w:sz="4" w:space="0" w:color="000000"/>
              <w:right w:val="single" w:sz="4" w:space="0" w:color="000000"/>
            </w:tcBorders>
            <w:shd w:val="clear" w:color="auto" w:fill="DBE5F1"/>
            <w:vAlign w:val="center"/>
          </w:tcPr>
          <w:p w14:paraId="0F60F04B" w14:textId="77777777" w:rsidR="0075369D" w:rsidRDefault="00000000">
            <w:pPr>
              <w:widowControl/>
              <w:spacing w:line="360" w:lineRule="auto"/>
              <w:jc w:val="center"/>
              <w:textAlignment w:val="center"/>
              <w:rPr>
                <w:rFonts w:ascii="宋体" w:hAnsi="宋体" w:cs="宋体" w:hint="eastAsia"/>
                <w:b/>
                <w:bCs/>
                <w:color w:val="000000"/>
                <w:szCs w:val="21"/>
              </w:rPr>
            </w:pPr>
            <w:r>
              <w:rPr>
                <w:rFonts w:ascii="宋体" w:hAnsi="宋体" w:cs="宋体" w:hint="eastAsia"/>
                <w:b/>
                <w:bCs/>
                <w:color w:val="000000"/>
                <w:kern w:val="0"/>
                <w:szCs w:val="21"/>
                <w:lang w:bidi="ar"/>
              </w:rPr>
              <w:t>服务内容</w:t>
            </w:r>
          </w:p>
        </w:tc>
        <w:tc>
          <w:tcPr>
            <w:tcW w:w="658" w:type="pct"/>
            <w:tcBorders>
              <w:top w:val="single" w:sz="4" w:space="0" w:color="000000"/>
              <w:left w:val="single" w:sz="4" w:space="0" w:color="000000"/>
              <w:bottom w:val="single" w:sz="4" w:space="0" w:color="000000"/>
              <w:right w:val="single" w:sz="4" w:space="0" w:color="000000"/>
            </w:tcBorders>
            <w:shd w:val="clear" w:color="auto" w:fill="DBE5F1"/>
            <w:vAlign w:val="center"/>
          </w:tcPr>
          <w:p w14:paraId="14EF322F" w14:textId="77777777" w:rsidR="0075369D" w:rsidRDefault="00000000">
            <w:pPr>
              <w:widowControl/>
              <w:spacing w:line="360" w:lineRule="auto"/>
              <w:jc w:val="center"/>
              <w:textAlignment w:val="center"/>
              <w:rPr>
                <w:rFonts w:ascii="宋体" w:hAnsi="宋体" w:cs="宋体" w:hint="eastAsia"/>
                <w:b/>
                <w:bCs/>
                <w:color w:val="000000"/>
                <w:szCs w:val="21"/>
              </w:rPr>
            </w:pPr>
            <w:r>
              <w:rPr>
                <w:rFonts w:ascii="宋体" w:hAnsi="宋体" w:cs="宋体" w:hint="eastAsia"/>
                <w:b/>
                <w:bCs/>
                <w:color w:val="000000"/>
                <w:kern w:val="0"/>
                <w:szCs w:val="21"/>
                <w:lang w:bidi="ar"/>
              </w:rPr>
              <w:t>预估工作量（人天）</w:t>
            </w:r>
          </w:p>
        </w:tc>
        <w:tc>
          <w:tcPr>
            <w:tcW w:w="2777" w:type="pct"/>
            <w:tcBorders>
              <w:top w:val="single" w:sz="4" w:space="0" w:color="000000"/>
              <w:left w:val="single" w:sz="4" w:space="0" w:color="000000"/>
              <w:bottom w:val="single" w:sz="4" w:space="0" w:color="000000"/>
              <w:right w:val="single" w:sz="4" w:space="0" w:color="000000"/>
            </w:tcBorders>
            <w:shd w:val="clear" w:color="auto" w:fill="DBE5F1"/>
            <w:vAlign w:val="center"/>
          </w:tcPr>
          <w:p w14:paraId="3764ECBF" w14:textId="77777777" w:rsidR="0075369D" w:rsidRDefault="00000000">
            <w:pPr>
              <w:widowControl/>
              <w:spacing w:line="360" w:lineRule="auto"/>
              <w:jc w:val="center"/>
              <w:textAlignment w:val="center"/>
              <w:rPr>
                <w:rFonts w:ascii="宋体" w:hAnsi="宋体" w:cs="宋体" w:hint="eastAsia"/>
                <w:b/>
                <w:bCs/>
                <w:color w:val="000000"/>
                <w:szCs w:val="21"/>
              </w:rPr>
            </w:pPr>
            <w:r>
              <w:rPr>
                <w:rFonts w:ascii="宋体" w:hAnsi="宋体" w:cs="宋体" w:hint="eastAsia"/>
                <w:b/>
                <w:bCs/>
                <w:color w:val="000000"/>
                <w:kern w:val="0"/>
                <w:szCs w:val="21"/>
                <w:lang w:bidi="ar"/>
              </w:rPr>
              <w:t>备注</w:t>
            </w:r>
          </w:p>
        </w:tc>
      </w:tr>
      <w:tr w:rsidR="0075369D" w14:paraId="4FEE577B" w14:textId="77777777">
        <w:trPr>
          <w:trHeight w:val="709"/>
        </w:trPr>
        <w:tc>
          <w:tcPr>
            <w:tcW w:w="246"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5596675" w14:textId="77777777" w:rsidR="0075369D" w:rsidRDefault="0075369D">
            <w:pPr>
              <w:pStyle w:val="afd"/>
              <w:widowControl/>
              <w:numPr>
                <w:ilvl w:val="0"/>
                <w:numId w:val="5"/>
              </w:numPr>
              <w:spacing w:line="360" w:lineRule="auto"/>
              <w:ind w:firstLineChars="0"/>
              <w:jc w:val="center"/>
              <w:textAlignment w:val="center"/>
              <w:rPr>
                <w:rFonts w:ascii="宋体" w:hAnsi="宋体" w:cs="宋体" w:hint="eastAsia"/>
                <w:color w:val="000000"/>
                <w:szCs w:val="21"/>
              </w:rPr>
            </w:pPr>
          </w:p>
        </w:tc>
        <w:tc>
          <w:tcPr>
            <w:tcW w:w="671" w:type="pct"/>
            <w:vMerge w:val="restart"/>
            <w:tcBorders>
              <w:top w:val="single" w:sz="4" w:space="0" w:color="000000"/>
              <w:left w:val="single" w:sz="4" w:space="0" w:color="000000"/>
              <w:right w:val="single" w:sz="4" w:space="0" w:color="000000"/>
            </w:tcBorders>
            <w:shd w:val="clear" w:color="auto" w:fill="FFFFFF"/>
            <w:vAlign w:val="center"/>
          </w:tcPr>
          <w:p w14:paraId="41BC79B6" w14:textId="77777777" w:rsidR="0075369D" w:rsidRDefault="00000000">
            <w:pPr>
              <w:widowControl/>
              <w:spacing w:line="360" w:lineRule="auto"/>
              <w:jc w:val="left"/>
              <w:textAlignment w:val="center"/>
              <w:rPr>
                <w:rFonts w:ascii="宋体" w:hAnsi="宋体" w:cs="宋体" w:hint="eastAsia"/>
                <w:color w:val="000000"/>
                <w:szCs w:val="21"/>
              </w:rPr>
            </w:pPr>
            <w:r>
              <w:rPr>
                <w:rFonts w:ascii="宋体" w:hAnsi="宋体" w:cs="宋体" w:hint="eastAsia"/>
                <w:color w:val="000000"/>
                <w:kern w:val="0"/>
                <w:szCs w:val="21"/>
                <w:lang w:bidi="ar"/>
              </w:rPr>
              <w:t>中国移动（浙江）</w:t>
            </w:r>
            <w:r>
              <w:rPr>
                <w:rFonts w:ascii="宋体" w:hAnsi="宋体" w:cs="宋体" w:hint="eastAsia"/>
                <w:color w:val="000000"/>
                <w:kern w:val="0"/>
                <w:szCs w:val="21"/>
                <w:lang w:bidi="ar"/>
              </w:rPr>
              <w:lastRenderedPageBreak/>
              <w:t>创新研究院2026-2028年网络安全高级技术支持服务项目</w:t>
            </w:r>
          </w:p>
        </w:tc>
        <w:tc>
          <w:tcPr>
            <w:tcW w:w="64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6960179" w14:textId="77777777" w:rsidR="0075369D" w:rsidRDefault="00000000">
            <w:pPr>
              <w:widowControl/>
              <w:spacing w:line="360" w:lineRule="auto"/>
              <w:jc w:val="left"/>
              <w:textAlignment w:val="center"/>
              <w:rPr>
                <w:rFonts w:ascii="宋体" w:hAnsi="宋体" w:cs="宋体" w:hint="eastAsia"/>
                <w:color w:val="000000"/>
                <w:szCs w:val="21"/>
              </w:rPr>
            </w:pPr>
            <w:r>
              <w:rPr>
                <w:rFonts w:ascii="宋体" w:hAnsi="宋体" w:cs="宋体" w:hint="eastAsia"/>
                <w:color w:val="000000"/>
                <w:kern w:val="0"/>
                <w:szCs w:val="21"/>
                <w:lang w:bidi="ar"/>
              </w:rPr>
              <w:lastRenderedPageBreak/>
              <w:t>资产风险管理</w:t>
            </w:r>
          </w:p>
        </w:tc>
        <w:tc>
          <w:tcPr>
            <w:tcW w:w="65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3C36E4C" w14:textId="77777777" w:rsidR="0075369D" w:rsidRDefault="00000000">
            <w:pPr>
              <w:widowControl/>
              <w:spacing w:line="360" w:lineRule="auto"/>
              <w:jc w:val="center"/>
              <w:textAlignment w:val="center"/>
              <w:rPr>
                <w:rFonts w:ascii="宋体" w:hAnsi="宋体" w:cs="宋体" w:hint="eastAsia"/>
                <w:color w:val="000000"/>
                <w:szCs w:val="21"/>
              </w:rPr>
            </w:pPr>
            <w:r>
              <w:rPr>
                <w:rFonts w:ascii="宋体" w:hAnsi="宋体" w:cs="宋体" w:hint="eastAsia"/>
                <w:color w:val="000000"/>
                <w:kern w:val="0"/>
                <w:szCs w:val="21"/>
                <w:lang w:bidi="ar"/>
              </w:rPr>
              <w:t>500</w:t>
            </w:r>
          </w:p>
        </w:tc>
        <w:tc>
          <w:tcPr>
            <w:tcW w:w="2777" w:type="pct"/>
            <w:tcBorders>
              <w:top w:val="single" w:sz="4" w:space="0" w:color="000000"/>
              <w:left w:val="single" w:sz="4" w:space="0" w:color="000000"/>
              <w:bottom w:val="single" w:sz="4" w:space="0" w:color="000000"/>
              <w:right w:val="single" w:sz="4" w:space="0" w:color="000000"/>
            </w:tcBorders>
            <w:vAlign w:val="center"/>
          </w:tcPr>
          <w:p w14:paraId="2B6B56D1" w14:textId="77777777" w:rsidR="0075369D" w:rsidRDefault="00000000">
            <w:pPr>
              <w:widowControl/>
              <w:spacing w:line="360" w:lineRule="auto"/>
              <w:jc w:val="left"/>
              <w:textAlignment w:val="center"/>
              <w:rPr>
                <w:rFonts w:ascii="宋体" w:hAnsi="宋体" w:cs="宋体" w:hint="eastAsia"/>
                <w:color w:val="000000"/>
                <w:szCs w:val="21"/>
              </w:rPr>
            </w:pPr>
            <w:r>
              <w:rPr>
                <w:rFonts w:ascii="宋体" w:hAnsi="宋体" w:cs="宋体" w:hint="eastAsia"/>
                <w:color w:val="000000"/>
                <w:kern w:val="0"/>
                <w:szCs w:val="21"/>
                <w:lang w:bidi="ar"/>
              </w:rPr>
              <w:t>内网业务资产的梳理，定级系统资产梳理，</w:t>
            </w:r>
            <w:r>
              <w:rPr>
                <w:rFonts w:hint="eastAsia"/>
              </w:rPr>
              <w:t>IT</w:t>
            </w:r>
            <w:r>
              <w:rPr>
                <w:rFonts w:hint="eastAsia"/>
              </w:rPr>
              <w:t>云和移动云资产、网管云（共</w:t>
            </w:r>
            <w:r>
              <w:rPr>
                <w:rFonts w:hint="eastAsia"/>
              </w:rPr>
              <w:t>2000</w:t>
            </w:r>
            <w:r>
              <w:rPr>
                <w:rFonts w:hint="eastAsia"/>
              </w:rPr>
              <w:t>余台）的梳</w:t>
            </w:r>
            <w:r>
              <w:rPr>
                <w:rFonts w:hint="eastAsia"/>
              </w:rPr>
              <w:lastRenderedPageBreak/>
              <w:t>理，</w:t>
            </w:r>
            <w:r>
              <w:rPr>
                <w:rFonts w:ascii="宋体" w:hAnsi="宋体" w:cs="宋体" w:hint="eastAsia"/>
                <w:color w:val="000000"/>
                <w:kern w:val="0"/>
                <w:szCs w:val="21"/>
                <w:lang w:bidi="ar"/>
              </w:rPr>
              <w:t>台账记录；每季度完成一轮业务系统资产的漏洞管理与修复。</w:t>
            </w:r>
          </w:p>
        </w:tc>
      </w:tr>
      <w:tr w:rsidR="0075369D" w14:paraId="031776DA" w14:textId="77777777">
        <w:trPr>
          <w:trHeight w:val="1155"/>
        </w:trPr>
        <w:tc>
          <w:tcPr>
            <w:tcW w:w="246"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59EF56F" w14:textId="77777777" w:rsidR="0075369D" w:rsidRDefault="0075369D">
            <w:pPr>
              <w:pStyle w:val="afd"/>
              <w:widowControl/>
              <w:numPr>
                <w:ilvl w:val="0"/>
                <w:numId w:val="5"/>
              </w:numPr>
              <w:spacing w:line="360" w:lineRule="auto"/>
              <w:ind w:firstLineChars="0"/>
              <w:jc w:val="center"/>
              <w:textAlignment w:val="center"/>
              <w:rPr>
                <w:rFonts w:ascii="宋体" w:hAnsi="宋体" w:cs="宋体" w:hint="eastAsia"/>
                <w:color w:val="000000"/>
                <w:szCs w:val="21"/>
              </w:rPr>
            </w:pPr>
          </w:p>
        </w:tc>
        <w:tc>
          <w:tcPr>
            <w:tcW w:w="671" w:type="pct"/>
            <w:vMerge/>
            <w:tcBorders>
              <w:left w:val="single" w:sz="4" w:space="0" w:color="000000"/>
              <w:right w:val="single" w:sz="4" w:space="0" w:color="000000"/>
            </w:tcBorders>
            <w:shd w:val="clear" w:color="auto" w:fill="FFFFFF"/>
            <w:vAlign w:val="center"/>
          </w:tcPr>
          <w:p w14:paraId="3E3A5E71" w14:textId="77777777" w:rsidR="0075369D" w:rsidRDefault="0075369D">
            <w:pPr>
              <w:spacing w:line="360" w:lineRule="auto"/>
              <w:jc w:val="left"/>
              <w:rPr>
                <w:rFonts w:ascii="宋体" w:hAnsi="宋体" w:cs="宋体" w:hint="eastAsia"/>
                <w:color w:val="000000"/>
                <w:szCs w:val="21"/>
              </w:rPr>
            </w:pPr>
          </w:p>
        </w:tc>
        <w:tc>
          <w:tcPr>
            <w:tcW w:w="64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045FAF4" w14:textId="77777777" w:rsidR="0075369D" w:rsidRDefault="00000000">
            <w:pPr>
              <w:widowControl/>
              <w:spacing w:line="360" w:lineRule="auto"/>
              <w:jc w:val="left"/>
              <w:textAlignment w:val="center"/>
              <w:rPr>
                <w:rFonts w:ascii="宋体" w:hAnsi="宋体" w:cs="宋体" w:hint="eastAsia"/>
                <w:color w:val="000000"/>
                <w:szCs w:val="21"/>
              </w:rPr>
            </w:pPr>
            <w:r>
              <w:rPr>
                <w:rFonts w:ascii="宋体" w:hAnsi="宋体" w:cs="宋体" w:hint="eastAsia"/>
                <w:color w:val="000000"/>
                <w:kern w:val="0"/>
                <w:szCs w:val="21"/>
                <w:lang w:bidi="ar"/>
              </w:rPr>
              <w:t>安全风险评估</w:t>
            </w:r>
          </w:p>
        </w:tc>
        <w:tc>
          <w:tcPr>
            <w:tcW w:w="65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7B93DAD" w14:textId="77777777" w:rsidR="0075369D" w:rsidRDefault="00000000">
            <w:pPr>
              <w:widowControl/>
              <w:spacing w:line="360" w:lineRule="auto"/>
              <w:jc w:val="center"/>
              <w:textAlignment w:val="center"/>
              <w:rPr>
                <w:rFonts w:ascii="宋体" w:hAnsi="宋体" w:cs="宋体" w:hint="eastAsia"/>
                <w:color w:val="000000"/>
                <w:szCs w:val="21"/>
              </w:rPr>
            </w:pPr>
            <w:r>
              <w:rPr>
                <w:rFonts w:ascii="宋体" w:hAnsi="宋体" w:cs="宋体" w:hint="eastAsia"/>
                <w:color w:val="000000"/>
                <w:kern w:val="0"/>
                <w:szCs w:val="21"/>
                <w:lang w:bidi="ar"/>
              </w:rPr>
              <w:t>1740</w:t>
            </w:r>
          </w:p>
        </w:tc>
        <w:tc>
          <w:tcPr>
            <w:tcW w:w="2777" w:type="pct"/>
            <w:tcBorders>
              <w:top w:val="single" w:sz="4" w:space="0" w:color="000000"/>
              <w:left w:val="single" w:sz="4" w:space="0" w:color="000000"/>
              <w:bottom w:val="single" w:sz="4" w:space="0" w:color="000000"/>
              <w:right w:val="single" w:sz="4" w:space="0" w:color="000000"/>
            </w:tcBorders>
            <w:vAlign w:val="center"/>
          </w:tcPr>
          <w:p w14:paraId="18800A4A" w14:textId="77777777" w:rsidR="0075369D" w:rsidRDefault="00000000">
            <w:pPr>
              <w:widowControl/>
              <w:spacing w:line="360" w:lineRule="auto"/>
              <w:jc w:val="left"/>
              <w:textAlignment w:val="center"/>
              <w:rPr>
                <w:rFonts w:ascii="宋体" w:hAnsi="宋体" w:cs="宋体" w:hint="eastAsia"/>
                <w:color w:val="000000"/>
                <w:szCs w:val="21"/>
              </w:rPr>
            </w:pPr>
            <w:r>
              <w:rPr>
                <w:rFonts w:ascii="宋体" w:hAnsi="宋体" w:cs="宋体" w:hint="eastAsia"/>
                <w:color w:val="000000"/>
                <w:kern w:val="0"/>
                <w:szCs w:val="21"/>
                <w:lang w:bidi="ar"/>
              </w:rPr>
              <w:t>暴露面业务资产的代码审计和应用安全评估；内网业务主机风险扫描;每周新上线功能评估；月均处理10余次新业务、新项目、新功能点；新增暴露面的评估工作；全量第三方合作伙伴的不定期暴露面资产检查等</w:t>
            </w:r>
          </w:p>
        </w:tc>
      </w:tr>
      <w:tr w:rsidR="0075369D" w14:paraId="6289DD40" w14:textId="77777777">
        <w:trPr>
          <w:trHeight w:val="570"/>
        </w:trPr>
        <w:tc>
          <w:tcPr>
            <w:tcW w:w="246"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63744FD" w14:textId="77777777" w:rsidR="0075369D" w:rsidRDefault="0075369D">
            <w:pPr>
              <w:pStyle w:val="afd"/>
              <w:numPr>
                <w:ilvl w:val="0"/>
                <w:numId w:val="5"/>
              </w:numPr>
              <w:spacing w:line="360" w:lineRule="auto"/>
              <w:ind w:firstLineChars="0"/>
              <w:jc w:val="center"/>
              <w:rPr>
                <w:rFonts w:ascii="宋体" w:hAnsi="宋体" w:cs="宋体" w:hint="eastAsia"/>
                <w:color w:val="000000"/>
                <w:szCs w:val="21"/>
              </w:rPr>
            </w:pPr>
          </w:p>
        </w:tc>
        <w:tc>
          <w:tcPr>
            <w:tcW w:w="671" w:type="pct"/>
            <w:vMerge/>
            <w:tcBorders>
              <w:left w:val="single" w:sz="4" w:space="0" w:color="000000"/>
              <w:right w:val="single" w:sz="4" w:space="0" w:color="000000"/>
            </w:tcBorders>
            <w:shd w:val="clear" w:color="auto" w:fill="FFFFFF"/>
            <w:vAlign w:val="center"/>
          </w:tcPr>
          <w:p w14:paraId="015E75CF" w14:textId="77777777" w:rsidR="0075369D" w:rsidRDefault="0075369D">
            <w:pPr>
              <w:spacing w:line="360" w:lineRule="auto"/>
              <w:jc w:val="left"/>
              <w:rPr>
                <w:rFonts w:ascii="宋体" w:hAnsi="宋体" w:cs="宋体" w:hint="eastAsia"/>
                <w:color w:val="000000"/>
                <w:szCs w:val="21"/>
              </w:rPr>
            </w:pPr>
          </w:p>
        </w:tc>
        <w:tc>
          <w:tcPr>
            <w:tcW w:w="64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FDA2CCA" w14:textId="77777777" w:rsidR="0075369D" w:rsidRDefault="00000000">
            <w:pPr>
              <w:widowControl/>
              <w:spacing w:line="360" w:lineRule="auto"/>
              <w:jc w:val="left"/>
              <w:textAlignment w:val="center"/>
              <w:rPr>
                <w:rFonts w:ascii="宋体" w:hAnsi="宋体" w:cs="宋体" w:hint="eastAsia"/>
                <w:color w:val="000000"/>
                <w:szCs w:val="21"/>
              </w:rPr>
            </w:pPr>
            <w:r>
              <w:rPr>
                <w:rFonts w:ascii="宋体" w:hAnsi="宋体" w:cs="宋体" w:hint="eastAsia"/>
                <w:color w:val="000000"/>
                <w:kern w:val="0"/>
                <w:szCs w:val="21"/>
                <w:lang w:bidi="ar"/>
              </w:rPr>
              <w:t>安全合规管理</w:t>
            </w:r>
          </w:p>
        </w:tc>
        <w:tc>
          <w:tcPr>
            <w:tcW w:w="65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FF509C5" w14:textId="77777777" w:rsidR="0075369D" w:rsidRDefault="00000000">
            <w:pPr>
              <w:widowControl/>
              <w:spacing w:line="360" w:lineRule="auto"/>
              <w:jc w:val="center"/>
              <w:textAlignment w:val="center"/>
              <w:rPr>
                <w:rFonts w:ascii="宋体" w:hAnsi="宋体" w:cs="宋体" w:hint="eastAsia"/>
                <w:color w:val="000000"/>
                <w:szCs w:val="21"/>
              </w:rPr>
            </w:pPr>
            <w:r>
              <w:rPr>
                <w:rFonts w:ascii="宋体" w:hAnsi="宋体" w:cs="宋体" w:hint="eastAsia"/>
                <w:color w:val="000000"/>
                <w:kern w:val="0"/>
                <w:szCs w:val="21"/>
                <w:lang w:bidi="ar"/>
              </w:rPr>
              <w:t>360</w:t>
            </w:r>
          </w:p>
        </w:tc>
        <w:tc>
          <w:tcPr>
            <w:tcW w:w="2777" w:type="pct"/>
            <w:tcBorders>
              <w:top w:val="single" w:sz="4" w:space="0" w:color="000000"/>
              <w:left w:val="single" w:sz="4" w:space="0" w:color="000000"/>
              <w:bottom w:val="single" w:sz="4" w:space="0" w:color="000000"/>
              <w:right w:val="single" w:sz="4" w:space="0" w:color="000000"/>
            </w:tcBorders>
            <w:vAlign w:val="center"/>
          </w:tcPr>
          <w:p w14:paraId="46847503" w14:textId="77777777" w:rsidR="0075369D" w:rsidRDefault="00000000">
            <w:pPr>
              <w:widowControl/>
              <w:spacing w:line="360" w:lineRule="auto"/>
              <w:jc w:val="left"/>
              <w:textAlignment w:val="center"/>
              <w:rPr>
                <w:rFonts w:ascii="宋体" w:hAnsi="宋体" w:cs="宋体" w:hint="eastAsia"/>
                <w:color w:val="000000"/>
                <w:szCs w:val="21"/>
              </w:rPr>
            </w:pPr>
            <w:r>
              <w:rPr>
                <w:rFonts w:ascii="宋体" w:hAnsi="宋体" w:cs="宋体" w:hint="eastAsia"/>
                <w:color w:val="000000"/>
                <w:kern w:val="0"/>
                <w:szCs w:val="21"/>
                <w:lang w:bidi="ar"/>
              </w:rPr>
              <w:t>全量业务系统的工信部定级备案工作及其他合规要求。每年度2次两部委检查、2次集团检查及4次其他检查</w:t>
            </w:r>
          </w:p>
        </w:tc>
      </w:tr>
      <w:tr w:rsidR="0075369D" w14:paraId="1522C27F" w14:textId="77777777">
        <w:trPr>
          <w:trHeight w:val="570"/>
        </w:trPr>
        <w:tc>
          <w:tcPr>
            <w:tcW w:w="246"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DF9CAA6" w14:textId="77777777" w:rsidR="0075369D" w:rsidRDefault="0075369D">
            <w:pPr>
              <w:pStyle w:val="afd"/>
              <w:widowControl/>
              <w:numPr>
                <w:ilvl w:val="0"/>
                <w:numId w:val="5"/>
              </w:numPr>
              <w:spacing w:line="360" w:lineRule="auto"/>
              <w:ind w:firstLineChars="0"/>
              <w:jc w:val="center"/>
              <w:textAlignment w:val="center"/>
              <w:rPr>
                <w:rFonts w:ascii="宋体" w:hAnsi="宋体" w:cs="宋体" w:hint="eastAsia"/>
                <w:color w:val="000000"/>
                <w:szCs w:val="21"/>
              </w:rPr>
            </w:pPr>
          </w:p>
        </w:tc>
        <w:tc>
          <w:tcPr>
            <w:tcW w:w="671" w:type="pct"/>
            <w:vMerge/>
            <w:tcBorders>
              <w:left w:val="single" w:sz="4" w:space="0" w:color="000000"/>
              <w:right w:val="single" w:sz="4" w:space="0" w:color="000000"/>
            </w:tcBorders>
            <w:shd w:val="clear" w:color="auto" w:fill="FFFFFF"/>
            <w:vAlign w:val="center"/>
          </w:tcPr>
          <w:p w14:paraId="52E01972" w14:textId="77777777" w:rsidR="0075369D" w:rsidRDefault="0075369D">
            <w:pPr>
              <w:spacing w:line="360" w:lineRule="auto"/>
              <w:jc w:val="left"/>
              <w:rPr>
                <w:rFonts w:ascii="宋体" w:hAnsi="宋体" w:cs="宋体" w:hint="eastAsia"/>
                <w:color w:val="000000"/>
                <w:szCs w:val="21"/>
              </w:rPr>
            </w:pPr>
          </w:p>
        </w:tc>
        <w:tc>
          <w:tcPr>
            <w:tcW w:w="64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A3D0DC4" w14:textId="77777777" w:rsidR="0075369D" w:rsidRDefault="00000000">
            <w:pPr>
              <w:widowControl/>
              <w:spacing w:line="360" w:lineRule="auto"/>
              <w:jc w:val="left"/>
              <w:textAlignment w:val="center"/>
              <w:rPr>
                <w:rFonts w:ascii="宋体" w:hAnsi="宋体" w:cs="宋体" w:hint="eastAsia"/>
                <w:color w:val="000000"/>
                <w:szCs w:val="21"/>
              </w:rPr>
            </w:pPr>
            <w:r>
              <w:rPr>
                <w:rFonts w:ascii="宋体" w:hAnsi="宋体" w:cs="宋体" w:hint="eastAsia"/>
                <w:color w:val="000000"/>
                <w:kern w:val="0"/>
                <w:szCs w:val="21"/>
                <w:lang w:bidi="ar"/>
              </w:rPr>
              <w:t>安全设备运营</w:t>
            </w:r>
          </w:p>
        </w:tc>
        <w:tc>
          <w:tcPr>
            <w:tcW w:w="65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34612DD" w14:textId="77777777" w:rsidR="0075369D" w:rsidRDefault="00000000">
            <w:pPr>
              <w:widowControl/>
              <w:spacing w:line="360" w:lineRule="auto"/>
              <w:jc w:val="center"/>
              <w:textAlignment w:val="center"/>
              <w:rPr>
                <w:rFonts w:ascii="宋体" w:hAnsi="宋体" w:cs="宋体" w:hint="eastAsia"/>
                <w:color w:val="000000"/>
                <w:szCs w:val="21"/>
              </w:rPr>
            </w:pPr>
            <w:r>
              <w:rPr>
                <w:rFonts w:ascii="宋体" w:hAnsi="宋体" w:cs="宋体" w:hint="eastAsia"/>
                <w:color w:val="000000"/>
                <w:kern w:val="0"/>
                <w:szCs w:val="21"/>
                <w:lang w:bidi="ar"/>
              </w:rPr>
              <w:t>600</w:t>
            </w:r>
          </w:p>
        </w:tc>
        <w:tc>
          <w:tcPr>
            <w:tcW w:w="2777" w:type="pct"/>
            <w:tcBorders>
              <w:top w:val="single" w:sz="4" w:space="0" w:color="000000"/>
              <w:left w:val="single" w:sz="4" w:space="0" w:color="000000"/>
              <w:bottom w:val="single" w:sz="4" w:space="0" w:color="000000"/>
              <w:right w:val="single" w:sz="4" w:space="0" w:color="000000"/>
            </w:tcBorders>
            <w:vAlign w:val="center"/>
          </w:tcPr>
          <w:p w14:paraId="024E691A" w14:textId="77777777" w:rsidR="0075369D" w:rsidRDefault="00000000">
            <w:pPr>
              <w:widowControl/>
              <w:spacing w:line="360" w:lineRule="auto"/>
              <w:jc w:val="left"/>
              <w:textAlignment w:val="center"/>
              <w:rPr>
                <w:rFonts w:ascii="宋体" w:hAnsi="宋体" w:cs="宋体" w:hint="eastAsia"/>
                <w:color w:val="000000"/>
                <w:szCs w:val="21"/>
              </w:rPr>
            </w:pPr>
            <w:r>
              <w:rPr>
                <w:rFonts w:ascii="宋体" w:hAnsi="宋体" w:cs="宋体" w:hint="eastAsia"/>
                <w:color w:val="000000"/>
                <w:kern w:val="0"/>
                <w:szCs w:val="21"/>
                <w:lang w:bidi="ar"/>
              </w:rPr>
              <w:t>APT、态势、WAF等10余个安全设备资产的策略配置、故障解决、数据上报、设备运行状态巡检</w:t>
            </w:r>
          </w:p>
        </w:tc>
      </w:tr>
      <w:tr w:rsidR="0075369D" w14:paraId="7C43B433" w14:textId="77777777">
        <w:trPr>
          <w:trHeight w:val="670"/>
        </w:trPr>
        <w:tc>
          <w:tcPr>
            <w:tcW w:w="246"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18C3084" w14:textId="77777777" w:rsidR="0075369D" w:rsidRDefault="0075369D">
            <w:pPr>
              <w:pStyle w:val="afd"/>
              <w:widowControl/>
              <w:numPr>
                <w:ilvl w:val="0"/>
                <w:numId w:val="5"/>
              </w:numPr>
              <w:spacing w:line="360" w:lineRule="auto"/>
              <w:ind w:firstLineChars="0"/>
              <w:jc w:val="center"/>
              <w:textAlignment w:val="center"/>
              <w:rPr>
                <w:rFonts w:ascii="宋体" w:hAnsi="宋体" w:cs="宋体" w:hint="eastAsia"/>
                <w:color w:val="000000"/>
                <w:szCs w:val="21"/>
              </w:rPr>
            </w:pPr>
          </w:p>
        </w:tc>
        <w:tc>
          <w:tcPr>
            <w:tcW w:w="671" w:type="pct"/>
            <w:vMerge/>
            <w:tcBorders>
              <w:left w:val="single" w:sz="4" w:space="0" w:color="000000"/>
              <w:right w:val="single" w:sz="4" w:space="0" w:color="000000"/>
            </w:tcBorders>
            <w:shd w:val="clear" w:color="auto" w:fill="FFFFFF"/>
            <w:vAlign w:val="center"/>
          </w:tcPr>
          <w:p w14:paraId="2A2E3981" w14:textId="77777777" w:rsidR="0075369D" w:rsidRDefault="0075369D">
            <w:pPr>
              <w:spacing w:line="360" w:lineRule="auto"/>
              <w:jc w:val="left"/>
              <w:rPr>
                <w:rFonts w:ascii="宋体" w:hAnsi="宋体" w:cs="宋体" w:hint="eastAsia"/>
                <w:color w:val="000000"/>
                <w:szCs w:val="21"/>
              </w:rPr>
            </w:pPr>
          </w:p>
        </w:tc>
        <w:tc>
          <w:tcPr>
            <w:tcW w:w="64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A60E5F3" w14:textId="77777777" w:rsidR="0075369D" w:rsidRDefault="00000000">
            <w:pPr>
              <w:widowControl/>
              <w:spacing w:line="360" w:lineRule="auto"/>
              <w:jc w:val="left"/>
              <w:textAlignment w:val="center"/>
              <w:rPr>
                <w:rFonts w:ascii="宋体" w:hAnsi="宋体" w:cs="宋体" w:hint="eastAsia"/>
                <w:color w:val="000000"/>
                <w:szCs w:val="21"/>
              </w:rPr>
            </w:pPr>
            <w:r>
              <w:rPr>
                <w:rFonts w:ascii="宋体" w:hAnsi="宋体" w:cs="宋体" w:hint="eastAsia"/>
                <w:color w:val="000000"/>
                <w:kern w:val="0"/>
                <w:szCs w:val="21"/>
                <w:lang w:bidi="ar"/>
              </w:rPr>
              <w:t>重大活动安全保障</w:t>
            </w:r>
          </w:p>
        </w:tc>
        <w:tc>
          <w:tcPr>
            <w:tcW w:w="65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2627E30" w14:textId="77777777" w:rsidR="0075369D" w:rsidRDefault="00000000">
            <w:pPr>
              <w:widowControl/>
              <w:spacing w:line="360" w:lineRule="auto"/>
              <w:jc w:val="center"/>
              <w:textAlignment w:val="center"/>
              <w:rPr>
                <w:rFonts w:ascii="宋体" w:hAnsi="宋体" w:cs="宋体" w:hint="eastAsia"/>
                <w:color w:val="000000"/>
                <w:szCs w:val="21"/>
              </w:rPr>
            </w:pPr>
            <w:r>
              <w:rPr>
                <w:rFonts w:ascii="宋体" w:hAnsi="宋体" w:cs="宋体" w:hint="eastAsia"/>
                <w:color w:val="000000"/>
                <w:kern w:val="0"/>
                <w:szCs w:val="21"/>
                <w:lang w:bidi="ar"/>
              </w:rPr>
              <w:t>700</w:t>
            </w:r>
          </w:p>
        </w:tc>
        <w:tc>
          <w:tcPr>
            <w:tcW w:w="2777" w:type="pct"/>
            <w:tcBorders>
              <w:top w:val="single" w:sz="4" w:space="0" w:color="000000"/>
              <w:left w:val="single" w:sz="4" w:space="0" w:color="000000"/>
              <w:bottom w:val="single" w:sz="4" w:space="0" w:color="000000"/>
              <w:right w:val="single" w:sz="4" w:space="0" w:color="000000"/>
            </w:tcBorders>
            <w:vAlign w:val="center"/>
          </w:tcPr>
          <w:p w14:paraId="178FA1ED" w14:textId="77777777" w:rsidR="0075369D" w:rsidRDefault="00000000">
            <w:pPr>
              <w:widowControl/>
              <w:spacing w:line="360" w:lineRule="auto"/>
              <w:jc w:val="left"/>
              <w:textAlignment w:val="center"/>
              <w:rPr>
                <w:rFonts w:ascii="宋体" w:hAnsi="宋体" w:cs="宋体" w:hint="eastAsia"/>
                <w:color w:val="000000"/>
                <w:szCs w:val="21"/>
              </w:rPr>
            </w:pPr>
            <w:r>
              <w:rPr>
                <w:rFonts w:ascii="宋体" w:hAnsi="宋体" w:cs="宋体" w:hint="eastAsia"/>
                <w:color w:val="000000"/>
                <w:kern w:val="0"/>
                <w:szCs w:val="21"/>
                <w:lang w:bidi="ar"/>
              </w:rPr>
              <w:t>全年10余次重大活动的安全保障工作，含国家护网；浙江省护网；集团春耕；国家重要会议；重要节假日；以及临时突发值守要求等</w:t>
            </w:r>
          </w:p>
        </w:tc>
      </w:tr>
      <w:tr w:rsidR="0075369D" w14:paraId="30C0961B" w14:textId="77777777">
        <w:trPr>
          <w:trHeight w:val="285"/>
        </w:trPr>
        <w:tc>
          <w:tcPr>
            <w:tcW w:w="246"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C64F4B9" w14:textId="77777777" w:rsidR="0075369D" w:rsidRDefault="0075369D">
            <w:pPr>
              <w:pStyle w:val="afd"/>
              <w:widowControl/>
              <w:numPr>
                <w:ilvl w:val="0"/>
                <w:numId w:val="5"/>
              </w:numPr>
              <w:spacing w:line="360" w:lineRule="auto"/>
              <w:ind w:firstLineChars="0"/>
              <w:jc w:val="center"/>
              <w:textAlignment w:val="center"/>
              <w:rPr>
                <w:rFonts w:ascii="宋体" w:hAnsi="宋体" w:cs="宋体" w:hint="eastAsia"/>
                <w:color w:val="000000"/>
                <w:szCs w:val="21"/>
              </w:rPr>
            </w:pPr>
          </w:p>
        </w:tc>
        <w:tc>
          <w:tcPr>
            <w:tcW w:w="671" w:type="pct"/>
            <w:vMerge/>
            <w:tcBorders>
              <w:left w:val="single" w:sz="4" w:space="0" w:color="000000"/>
              <w:right w:val="single" w:sz="4" w:space="0" w:color="000000"/>
            </w:tcBorders>
            <w:shd w:val="clear" w:color="auto" w:fill="FFFFFF"/>
            <w:vAlign w:val="center"/>
          </w:tcPr>
          <w:p w14:paraId="580D4222" w14:textId="77777777" w:rsidR="0075369D" w:rsidRDefault="0075369D">
            <w:pPr>
              <w:spacing w:line="360" w:lineRule="auto"/>
              <w:jc w:val="left"/>
              <w:rPr>
                <w:rFonts w:ascii="宋体" w:hAnsi="宋体" w:cs="宋体" w:hint="eastAsia"/>
                <w:color w:val="000000"/>
                <w:szCs w:val="21"/>
              </w:rPr>
            </w:pPr>
          </w:p>
        </w:tc>
        <w:tc>
          <w:tcPr>
            <w:tcW w:w="64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FAF05E5" w14:textId="77777777" w:rsidR="0075369D" w:rsidRDefault="00000000">
            <w:pPr>
              <w:widowControl/>
              <w:spacing w:line="360" w:lineRule="auto"/>
              <w:jc w:val="left"/>
              <w:textAlignment w:val="center"/>
              <w:rPr>
                <w:rFonts w:ascii="宋体" w:hAnsi="宋体" w:cs="宋体" w:hint="eastAsia"/>
                <w:color w:val="000000"/>
                <w:szCs w:val="21"/>
              </w:rPr>
            </w:pPr>
            <w:r>
              <w:rPr>
                <w:rFonts w:ascii="宋体" w:hAnsi="宋体" w:cs="宋体" w:hint="eastAsia"/>
                <w:color w:val="000000"/>
                <w:kern w:val="0"/>
                <w:szCs w:val="21"/>
                <w:lang w:bidi="ar"/>
              </w:rPr>
              <w:t>应急响应处置</w:t>
            </w:r>
          </w:p>
        </w:tc>
        <w:tc>
          <w:tcPr>
            <w:tcW w:w="65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881D91D" w14:textId="77777777" w:rsidR="0075369D" w:rsidRDefault="00000000">
            <w:pPr>
              <w:widowControl/>
              <w:spacing w:line="360" w:lineRule="auto"/>
              <w:jc w:val="center"/>
              <w:textAlignment w:val="center"/>
              <w:rPr>
                <w:rFonts w:ascii="宋体" w:hAnsi="宋体" w:cs="宋体" w:hint="eastAsia"/>
                <w:color w:val="000000"/>
                <w:szCs w:val="21"/>
              </w:rPr>
            </w:pPr>
            <w:r>
              <w:rPr>
                <w:rFonts w:ascii="宋体" w:hAnsi="宋体" w:cs="宋体" w:hint="eastAsia"/>
                <w:color w:val="000000"/>
                <w:kern w:val="0"/>
                <w:szCs w:val="21"/>
                <w:lang w:bidi="ar"/>
              </w:rPr>
              <w:t>500</w:t>
            </w:r>
          </w:p>
        </w:tc>
        <w:tc>
          <w:tcPr>
            <w:tcW w:w="2777" w:type="pct"/>
            <w:tcBorders>
              <w:top w:val="single" w:sz="4" w:space="0" w:color="000000"/>
              <w:left w:val="single" w:sz="4" w:space="0" w:color="000000"/>
              <w:bottom w:val="single" w:sz="4" w:space="0" w:color="000000"/>
              <w:right w:val="single" w:sz="4" w:space="0" w:color="000000"/>
            </w:tcBorders>
            <w:vAlign w:val="center"/>
          </w:tcPr>
          <w:p w14:paraId="38730CD8" w14:textId="77777777" w:rsidR="0075369D" w:rsidRDefault="00000000">
            <w:pPr>
              <w:widowControl/>
              <w:spacing w:line="360" w:lineRule="auto"/>
              <w:jc w:val="left"/>
              <w:textAlignment w:val="center"/>
              <w:rPr>
                <w:rFonts w:ascii="宋体" w:hAnsi="宋体" w:cs="宋体" w:hint="eastAsia"/>
                <w:color w:val="000000"/>
                <w:szCs w:val="21"/>
              </w:rPr>
            </w:pPr>
            <w:r>
              <w:rPr>
                <w:rFonts w:ascii="宋体" w:hAnsi="宋体" w:cs="宋体" w:hint="eastAsia"/>
                <w:color w:val="000000"/>
                <w:kern w:val="0"/>
                <w:szCs w:val="21"/>
                <w:lang w:bidi="ar"/>
              </w:rPr>
              <w:t>全年完成近10余件安全事件的分析处置。</w:t>
            </w:r>
          </w:p>
        </w:tc>
      </w:tr>
      <w:tr w:rsidR="0075369D" w14:paraId="72219789" w14:textId="77777777">
        <w:trPr>
          <w:trHeight w:val="285"/>
        </w:trPr>
        <w:tc>
          <w:tcPr>
            <w:tcW w:w="246"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74B6944" w14:textId="77777777" w:rsidR="0075369D" w:rsidRDefault="0075369D">
            <w:pPr>
              <w:pStyle w:val="afd"/>
              <w:widowControl/>
              <w:numPr>
                <w:ilvl w:val="0"/>
                <w:numId w:val="5"/>
              </w:numPr>
              <w:spacing w:line="360" w:lineRule="auto"/>
              <w:ind w:firstLineChars="0"/>
              <w:jc w:val="center"/>
              <w:textAlignment w:val="center"/>
              <w:rPr>
                <w:rFonts w:ascii="宋体" w:hAnsi="宋体" w:cs="宋体" w:hint="eastAsia"/>
                <w:color w:val="000000"/>
                <w:szCs w:val="21"/>
              </w:rPr>
            </w:pPr>
          </w:p>
        </w:tc>
        <w:tc>
          <w:tcPr>
            <w:tcW w:w="671" w:type="pct"/>
            <w:vMerge/>
            <w:tcBorders>
              <w:left w:val="single" w:sz="4" w:space="0" w:color="000000"/>
              <w:right w:val="single" w:sz="4" w:space="0" w:color="000000"/>
            </w:tcBorders>
            <w:shd w:val="clear" w:color="auto" w:fill="FFFFFF"/>
            <w:vAlign w:val="center"/>
          </w:tcPr>
          <w:p w14:paraId="53123F47" w14:textId="77777777" w:rsidR="0075369D" w:rsidRDefault="0075369D">
            <w:pPr>
              <w:spacing w:line="360" w:lineRule="auto"/>
              <w:jc w:val="left"/>
              <w:rPr>
                <w:rFonts w:ascii="宋体" w:hAnsi="宋体" w:cs="宋体" w:hint="eastAsia"/>
                <w:color w:val="000000"/>
                <w:szCs w:val="21"/>
              </w:rPr>
            </w:pPr>
          </w:p>
        </w:tc>
        <w:tc>
          <w:tcPr>
            <w:tcW w:w="645" w:type="pct"/>
            <w:tcBorders>
              <w:top w:val="single" w:sz="4" w:space="0" w:color="000000"/>
              <w:left w:val="single" w:sz="4" w:space="0" w:color="000000"/>
              <w:bottom w:val="single" w:sz="4" w:space="0" w:color="000000"/>
              <w:right w:val="single" w:sz="4" w:space="0" w:color="000000"/>
            </w:tcBorders>
            <w:noWrap/>
            <w:vAlign w:val="center"/>
          </w:tcPr>
          <w:p w14:paraId="7E125E02" w14:textId="77777777" w:rsidR="0075369D" w:rsidRDefault="00000000">
            <w:pPr>
              <w:widowControl/>
              <w:spacing w:line="360" w:lineRule="auto"/>
              <w:jc w:val="left"/>
              <w:textAlignment w:val="center"/>
              <w:rPr>
                <w:rFonts w:ascii="宋体" w:hAnsi="宋体" w:cs="宋体" w:hint="eastAsia"/>
                <w:color w:val="000000"/>
                <w:szCs w:val="21"/>
              </w:rPr>
            </w:pPr>
            <w:r>
              <w:rPr>
                <w:rFonts w:ascii="宋体" w:hAnsi="宋体" w:cs="宋体" w:hint="eastAsia"/>
                <w:color w:val="000000"/>
                <w:kern w:val="0"/>
                <w:szCs w:val="21"/>
                <w:lang w:bidi="ar"/>
              </w:rPr>
              <w:t>攻防演练</w:t>
            </w:r>
          </w:p>
        </w:tc>
        <w:tc>
          <w:tcPr>
            <w:tcW w:w="658" w:type="pct"/>
            <w:tcBorders>
              <w:top w:val="single" w:sz="4" w:space="0" w:color="000000"/>
              <w:left w:val="single" w:sz="4" w:space="0" w:color="000000"/>
              <w:bottom w:val="single" w:sz="4" w:space="0" w:color="000000"/>
              <w:right w:val="single" w:sz="4" w:space="0" w:color="000000"/>
            </w:tcBorders>
            <w:noWrap/>
            <w:vAlign w:val="center"/>
          </w:tcPr>
          <w:p w14:paraId="21AD5D0D" w14:textId="77777777" w:rsidR="0075369D" w:rsidRDefault="00000000">
            <w:pPr>
              <w:widowControl/>
              <w:spacing w:line="360" w:lineRule="auto"/>
              <w:jc w:val="center"/>
              <w:textAlignment w:val="center"/>
              <w:rPr>
                <w:rFonts w:ascii="宋体" w:hAnsi="宋体" w:cs="宋体" w:hint="eastAsia"/>
                <w:color w:val="000000"/>
                <w:szCs w:val="21"/>
              </w:rPr>
            </w:pPr>
            <w:r>
              <w:rPr>
                <w:rFonts w:ascii="宋体" w:hAnsi="宋体" w:cs="宋体" w:hint="eastAsia"/>
                <w:color w:val="000000"/>
                <w:kern w:val="0"/>
                <w:szCs w:val="21"/>
                <w:lang w:bidi="ar"/>
              </w:rPr>
              <w:t>100</w:t>
            </w:r>
          </w:p>
        </w:tc>
        <w:tc>
          <w:tcPr>
            <w:tcW w:w="2777" w:type="pct"/>
            <w:tcBorders>
              <w:top w:val="single" w:sz="4" w:space="0" w:color="000000"/>
              <w:left w:val="single" w:sz="4" w:space="0" w:color="000000"/>
              <w:bottom w:val="single" w:sz="4" w:space="0" w:color="000000"/>
              <w:right w:val="single" w:sz="4" w:space="0" w:color="000000"/>
            </w:tcBorders>
            <w:noWrap/>
            <w:vAlign w:val="center"/>
          </w:tcPr>
          <w:p w14:paraId="12D78BF9" w14:textId="77777777" w:rsidR="0075369D" w:rsidRDefault="00000000">
            <w:pPr>
              <w:widowControl/>
              <w:spacing w:line="360" w:lineRule="auto"/>
              <w:jc w:val="left"/>
              <w:textAlignment w:val="center"/>
              <w:rPr>
                <w:rFonts w:ascii="宋体" w:hAnsi="宋体" w:cs="宋体" w:hint="eastAsia"/>
                <w:color w:val="000000"/>
                <w:szCs w:val="21"/>
              </w:rPr>
            </w:pPr>
            <w:r>
              <w:rPr>
                <w:rFonts w:ascii="宋体" w:hAnsi="宋体" w:cs="宋体" w:hint="eastAsia"/>
                <w:color w:val="000000"/>
                <w:kern w:val="0"/>
                <w:szCs w:val="21"/>
                <w:lang w:bidi="ar"/>
              </w:rPr>
              <w:t>每年开展至少1次网络安全攻防演练工作，涉及全量业务系统</w:t>
            </w:r>
          </w:p>
        </w:tc>
      </w:tr>
      <w:tr w:rsidR="0075369D" w14:paraId="45490FA5" w14:textId="77777777">
        <w:trPr>
          <w:trHeight w:val="570"/>
        </w:trPr>
        <w:tc>
          <w:tcPr>
            <w:tcW w:w="246"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DBF58EF" w14:textId="77777777" w:rsidR="0075369D" w:rsidRDefault="0075369D">
            <w:pPr>
              <w:pStyle w:val="afd"/>
              <w:widowControl/>
              <w:numPr>
                <w:ilvl w:val="0"/>
                <w:numId w:val="5"/>
              </w:numPr>
              <w:spacing w:line="360" w:lineRule="auto"/>
              <w:ind w:firstLineChars="0"/>
              <w:jc w:val="center"/>
              <w:textAlignment w:val="center"/>
              <w:rPr>
                <w:rFonts w:ascii="宋体" w:hAnsi="宋体" w:cs="宋体" w:hint="eastAsia"/>
                <w:color w:val="000000"/>
                <w:szCs w:val="21"/>
              </w:rPr>
            </w:pPr>
          </w:p>
        </w:tc>
        <w:tc>
          <w:tcPr>
            <w:tcW w:w="671" w:type="pct"/>
            <w:vMerge/>
            <w:tcBorders>
              <w:left w:val="single" w:sz="4" w:space="0" w:color="000000"/>
              <w:right w:val="single" w:sz="4" w:space="0" w:color="000000"/>
            </w:tcBorders>
            <w:shd w:val="clear" w:color="auto" w:fill="FFFFFF"/>
            <w:vAlign w:val="center"/>
          </w:tcPr>
          <w:p w14:paraId="00C38D8A" w14:textId="77777777" w:rsidR="0075369D" w:rsidRDefault="0075369D">
            <w:pPr>
              <w:spacing w:line="360" w:lineRule="auto"/>
              <w:jc w:val="left"/>
              <w:rPr>
                <w:rFonts w:ascii="宋体" w:hAnsi="宋体" w:cs="宋体" w:hint="eastAsia"/>
                <w:color w:val="000000"/>
                <w:szCs w:val="21"/>
              </w:rPr>
            </w:pPr>
          </w:p>
        </w:tc>
        <w:tc>
          <w:tcPr>
            <w:tcW w:w="64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91989E6" w14:textId="77777777" w:rsidR="0075369D" w:rsidRDefault="00000000">
            <w:pPr>
              <w:widowControl/>
              <w:spacing w:line="360" w:lineRule="auto"/>
              <w:jc w:val="left"/>
              <w:textAlignment w:val="center"/>
              <w:rPr>
                <w:rFonts w:ascii="宋体" w:hAnsi="宋体" w:cs="宋体" w:hint="eastAsia"/>
                <w:color w:val="000000"/>
                <w:szCs w:val="21"/>
              </w:rPr>
            </w:pPr>
            <w:r>
              <w:rPr>
                <w:rFonts w:ascii="宋体" w:hAnsi="宋体" w:cs="宋体" w:hint="eastAsia"/>
                <w:color w:val="000000"/>
                <w:kern w:val="0"/>
                <w:szCs w:val="21"/>
                <w:lang w:bidi="ar"/>
              </w:rPr>
              <w:t>安全事件监测分析</w:t>
            </w:r>
          </w:p>
        </w:tc>
        <w:tc>
          <w:tcPr>
            <w:tcW w:w="65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3CC2130" w14:textId="77777777" w:rsidR="0075369D" w:rsidRDefault="00000000">
            <w:pPr>
              <w:widowControl/>
              <w:spacing w:line="360" w:lineRule="auto"/>
              <w:jc w:val="center"/>
              <w:textAlignment w:val="center"/>
              <w:rPr>
                <w:rFonts w:ascii="宋体" w:hAnsi="宋体" w:cs="宋体" w:hint="eastAsia"/>
                <w:color w:val="000000"/>
                <w:szCs w:val="21"/>
              </w:rPr>
            </w:pPr>
            <w:r>
              <w:rPr>
                <w:rFonts w:ascii="宋体" w:hAnsi="宋体" w:cs="宋体" w:hint="eastAsia"/>
                <w:color w:val="000000"/>
                <w:kern w:val="0"/>
                <w:szCs w:val="21"/>
                <w:lang w:bidi="ar"/>
              </w:rPr>
              <w:t>630</w:t>
            </w:r>
          </w:p>
        </w:tc>
        <w:tc>
          <w:tcPr>
            <w:tcW w:w="2777" w:type="pct"/>
            <w:tcBorders>
              <w:top w:val="single" w:sz="4" w:space="0" w:color="000000"/>
              <w:left w:val="single" w:sz="4" w:space="0" w:color="000000"/>
              <w:bottom w:val="single" w:sz="4" w:space="0" w:color="000000"/>
              <w:right w:val="single" w:sz="4" w:space="0" w:color="000000"/>
            </w:tcBorders>
            <w:vAlign w:val="center"/>
          </w:tcPr>
          <w:p w14:paraId="1921EB35" w14:textId="77777777" w:rsidR="0075369D" w:rsidRDefault="00000000">
            <w:pPr>
              <w:widowControl/>
              <w:spacing w:line="360" w:lineRule="auto"/>
              <w:jc w:val="left"/>
              <w:textAlignment w:val="center"/>
              <w:rPr>
                <w:rFonts w:ascii="宋体" w:hAnsi="宋体" w:cs="宋体" w:hint="eastAsia"/>
                <w:color w:val="000000"/>
                <w:szCs w:val="21"/>
              </w:rPr>
            </w:pPr>
            <w:r>
              <w:rPr>
                <w:rFonts w:ascii="宋体" w:hAnsi="宋体" w:cs="宋体" w:hint="eastAsia"/>
                <w:color w:val="000000"/>
                <w:kern w:val="0"/>
                <w:szCs w:val="21"/>
                <w:lang w:bidi="ar"/>
              </w:rPr>
              <w:t>每月完成APT、态势、WAF等所拦截的安全事件的告警分析</w:t>
            </w:r>
          </w:p>
        </w:tc>
      </w:tr>
      <w:tr w:rsidR="0075369D" w14:paraId="0AAF54D8" w14:textId="77777777">
        <w:trPr>
          <w:trHeight w:val="570"/>
        </w:trPr>
        <w:tc>
          <w:tcPr>
            <w:tcW w:w="246"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44BDD0F" w14:textId="77777777" w:rsidR="0075369D" w:rsidRDefault="0075369D">
            <w:pPr>
              <w:pStyle w:val="afd"/>
              <w:widowControl/>
              <w:numPr>
                <w:ilvl w:val="0"/>
                <w:numId w:val="5"/>
              </w:numPr>
              <w:spacing w:line="360" w:lineRule="auto"/>
              <w:ind w:firstLineChars="0"/>
              <w:jc w:val="center"/>
              <w:textAlignment w:val="center"/>
              <w:rPr>
                <w:rFonts w:ascii="宋体" w:hAnsi="宋体" w:cs="宋体" w:hint="eastAsia"/>
                <w:color w:val="000000"/>
                <w:kern w:val="0"/>
                <w:szCs w:val="21"/>
                <w:lang w:bidi="ar"/>
              </w:rPr>
            </w:pPr>
          </w:p>
        </w:tc>
        <w:tc>
          <w:tcPr>
            <w:tcW w:w="671" w:type="pct"/>
            <w:vMerge/>
            <w:tcBorders>
              <w:left w:val="single" w:sz="4" w:space="0" w:color="000000"/>
              <w:right w:val="single" w:sz="4" w:space="0" w:color="000000"/>
            </w:tcBorders>
            <w:shd w:val="clear" w:color="auto" w:fill="FFFFFF"/>
            <w:vAlign w:val="center"/>
          </w:tcPr>
          <w:p w14:paraId="1D6C8356" w14:textId="77777777" w:rsidR="0075369D" w:rsidRDefault="0075369D">
            <w:pPr>
              <w:spacing w:line="360" w:lineRule="auto"/>
              <w:jc w:val="left"/>
              <w:rPr>
                <w:rFonts w:ascii="宋体" w:hAnsi="宋体" w:cs="宋体" w:hint="eastAsia"/>
                <w:color w:val="000000"/>
                <w:szCs w:val="21"/>
              </w:rPr>
            </w:pPr>
          </w:p>
        </w:tc>
        <w:tc>
          <w:tcPr>
            <w:tcW w:w="64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6F72985" w14:textId="77777777" w:rsidR="0075369D" w:rsidRDefault="00000000">
            <w:pPr>
              <w:widowControl/>
              <w:spacing w:line="360" w:lineRule="auto"/>
              <w:jc w:val="left"/>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网络安全管理与运营支撑</w:t>
            </w:r>
          </w:p>
        </w:tc>
        <w:tc>
          <w:tcPr>
            <w:tcW w:w="65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300C4C2" w14:textId="77777777" w:rsidR="0075369D" w:rsidRDefault="00000000">
            <w:pPr>
              <w:widowControl/>
              <w:spacing w:line="360" w:lineRule="auto"/>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100</w:t>
            </w:r>
          </w:p>
        </w:tc>
        <w:tc>
          <w:tcPr>
            <w:tcW w:w="2777" w:type="pct"/>
            <w:tcBorders>
              <w:top w:val="single" w:sz="4" w:space="0" w:color="000000"/>
              <w:left w:val="single" w:sz="4" w:space="0" w:color="000000"/>
              <w:bottom w:val="single" w:sz="4" w:space="0" w:color="000000"/>
              <w:right w:val="single" w:sz="4" w:space="0" w:color="000000"/>
            </w:tcBorders>
            <w:vAlign w:val="center"/>
          </w:tcPr>
          <w:p w14:paraId="3F892077" w14:textId="77777777" w:rsidR="0075369D" w:rsidRDefault="00000000">
            <w:pPr>
              <w:widowControl/>
              <w:spacing w:line="360" w:lineRule="auto"/>
              <w:jc w:val="left"/>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完善网络安全管理体系，推进安全运营流程线上化建设，提升规范化水平与运营效率。</w:t>
            </w:r>
          </w:p>
        </w:tc>
      </w:tr>
      <w:tr w:rsidR="0075369D" w14:paraId="100BAB5C" w14:textId="77777777">
        <w:trPr>
          <w:trHeight w:val="570"/>
        </w:trPr>
        <w:tc>
          <w:tcPr>
            <w:tcW w:w="246"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5A1D639" w14:textId="77777777" w:rsidR="0075369D" w:rsidRDefault="0075369D">
            <w:pPr>
              <w:pStyle w:val="afd"/>
              <w:widowControl/>
              <w:numPr>
                <w:ilvl w:val="0"/>
                <w:numId w:val="5"/>
              </w:numPr>
              <w:spacing w:line="360" w:lineRule="auto"/>
              <w:ind w:firstLineChars="0"/>
              <w:jc w:val="center"/>
              <w:textAlignment w:val="center"/>
              <w:rPr>
                <w:rFonts w:ascii="宋体" w:hAnsi="宋体" w:cs="宋体" w:hint="eastAsia"/>
                <w:color w:val="000000"/>
                <w:kern w:val="0"/>
                <w:szCs w:val="21"/>
                <w:lang w:bidi="ar"/>
              </w:rPr>
            </w:pPr>
          </w:p>
        </w:tc>
        <w:tc>
          <w:tcPr>
            <w:tcW w:w="671" w:type="pct"/>
            <w:vMerge/>
            <w:tcBorders>
              <w:left w:val="single" w:sz="4" w:space="0" w:color="000000"/>
              <w:bottom w:val="single" w:sz="4" w:space="0" w:color="000000"/>
              <w:right w:val="single" w:sz="4" w:space="0" w:color="000000"/>
            </w:tcBorders>
            <w:shd w:val="clear" w:color="auto" w:fill="FFFFFF"/>
            <w:vAlign w:val="center"/>
          </w:tcPr>
          <w:p w14:paraId="2CE2F3B6" w14:textId="77777777" w:rsidR="0075369D" w:rsidRDefault="0075369D">
            <w:pPr>
              <w:spacing w:line="360" w:lineRule="auto"/>
              <w:jc w:val="left"/>
              <w:rPr>
                <w:rFonts w:ascii="宋体" w:hAnsi="宋体" w:cs="宋体" w:hint="eastAsia"/>
                <w:color w:val="000000"/>
                <w:szCs w:val="21"/>
              </w:rPr>
            </w:pPr>
          </w:p>
        </w:tc>
        <w:tc>
          <w:tcPr>
            <w:tcW w:w="64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39CABA7" w14:textId="77777777" w:rsidR="0075369D" w:rsidRDefault="00000000">
            <w:pPr>
              <w:widowControl/>
              <w:spacing w:line="360" w:lineRule="auto"/>
              <w:jc w:val="left"/>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AI安全风险评估</w:t>
            </w:r>
          </w:p>
        </w:tc>
        <w:tc>
          <w:tcPr>
            <w:tcW w:w="65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6C7BFF7" w14:textId="77777777" w:rsidR="0075369D" w:rsidRDefault="00000000">
            <w:pPr>
              <w:widowControl/>
              <w:spacing w:line="360" w:lineRule="auto"/>
              <w:jc w:val="center"/>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430</w:t>
            </w:r>
          </w:p>
        </w:tc>
        <w:tc>
          <w:tcPr>
            <w:tcW w:w="2777" w:type="pct"/>
            <w:tcBorders>
              <w:top w:val="single" w:sz="4" w:space="0" w:color="000000"/>
              <w:left w:val="single" w:sz="4" w:space="0" w:color="000000"/>
              <w:bottom w:val="single" w:sz="4" w:space="0" w:color="000000"/>
              <w:right w:val="single" w:sz="4" w:space="0" w:color="000000"/>
            </w:tcBorders>
            <w:vAlign w:val="center"/>
          </w:tcPr>
          <w:p w14:paraId="7706575A" w14:textId="77777777" w:rsidR="0075369D" w:rsidRDefault="00000000">
            <w:pPr>
              <w:widowControl/>
              <w:spacing w:line="360" w:lineRule="auto"/>
              <w:jc w:val="left"/>
              <w:textAlignment w:val="center"/>
              <w:rPr>
                <w:rFonts w:ascii="宋体" w:hAnsi="宋体" w:cs="宋体" w:hint="eastAsia"/>
                <w:color w:val="000000"/>
                <w:kern w:val="0"/>
                <w:szCs w:val="21"/>
                <w:lang w:bidi="ar"/>
              </w:rPr>
            </w:pPr>
            <w:r>
              <w:rPr>
                <w:rFonts w:ascii="宋体" w:hAnsi="宋体" w:cs="宋体" w:hint="eastAsia"/>
                <w:color w:val="000000"/>
                <w:kern w:val="0"/>
                <w:szCs w:val="21"/>
                <w:lang w:bidi="ar"/>
              </w:rPr>
              <w:t>新上线人工智能应用系统的AI安全风险评估；各存量AI业务上线后的AI方向的安全漏洞扫描与挖掘；</w:t>
            </w:r>
          </w:p>
        </w:tc>
      </w:tr>
      <w:tr w:rsidR="0075369D" w14:paraId="0C365B0A" w14:textId="77777777">
        <w:trPr>
          <w:trHeight w:val="285"/>
        </w:trPr>
        <w:tc>
          <w:tcPr>
            <w:tcW w:w="1564" w:type="pct"/>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1EE9FA0C" w14:textId="77777777" w:rsidR="0075369D" w:rsidRDefault="00000000">
            <w:pPr>
              <w:widowControl/>
              <w:spacing w:line="360" w:lineRule="auto"/>
              <w:jc w:val="center"/>
              <w:textAlignment w:val="center"/>
              <w:rPr>
                <w:rFonts w:ascii="宋体" w:hAnsi="宋体" w:cs="宋体" w:hint="eastAsia"/>
                <w:b/>
                <w:bCs/>
                <w:color w:val="000000"/>
                <w:szCs w:val="21"/>
              </w:rPr>
            </w:pPr>
            <w:r>
              <w:rPr>
                <w:rFonts w:ascii="宋体" w:hAnsi="宋体" w:cs="宋体" w:hint="eastAsia"/>
                <w:b/>
                <w:bCs/>
                <w:color w:val="000000"/>
                <w:kern w:val="0"/>
                <w:szCs w:val="21"/>
                <w:lang w:bidi="ar"/>
              </w:rPr>
              <w:t>合计</w:t>
            </w:r>
          </w:p>
        </w:tc>
        <w:tc>
          <w:tcPr>
            <w:tcW w:w="65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12A4E51" w14:textId="77777777" w:rsidR="0075369D" w:rsidRDefault="00000000">
            <w:pPr>
              <w:widowControl/>
              <w:spacing w:line="360" w:lineRule="auto"/>
              <w:jc w:val="center"/>
              <w:textAlignment w:val="center"/>
              <w:rPr>
                <w:rFonts w:ascii="宋体" w:hAnsi="宋体" w:cs="宋体" w:hint="eastAsia"/>
                <w:color w:val="000000"/>
                <w:szCs w:val="21"/>
              </w:rPr>
            </w:pPr>
            <w:r>
              <w:rPr>
                <w:rFonts w:ascii="宋体" w:hAnsi="宋体" w:cs="宋体" w:hint="eastAsia"/>
                <w:color w:val="000000"/>
                <w:kern w:val="0"/>
                <w:szCs w:val="21"/>
                <w:lang w:bidi="ar"/>
              </w:rPr>
              <w:t>5660</w:t>
            </w:r>
          </w:p>
        </w:tc>
        <w:tc>
          <w:tcPr>
            <w:tcW w:w="2777" w:type="pct"/>
            <w:tcBorders>
              <w:top w:val="single" w:sz="4" w:space="0" w:color="000000"/>
              <w:left w:val="single" w:sz="4" w:space="0" w:color="000000"/>
              <w:bottom w:val="single" w:sz="4" w:space="0" w:color="000000"/>
              <w:right w:val="single" w:sz="4" w:space="0" w:color="000000"/>
            </w:tcBorders>
            <w:shd w:val="clear" w:color="auto" w:fill="FFFFFF"/>
            <w:noWrap/>
            <w:vAlign w:val="center"/>
          </w:tcPr>
          <w:p w14:paraId="1F0B367F" w14:textId="77777777" w:rsidR="0075369D" w:rsidRDefault="0075369D">
            <w:pPr>
              <w:spacing w:line="360" w:lineRule="auto"/>
              <w:rPr>
                <w:rFonts w:ascii="宋体" w:hAnsi="宋体" w:cs="宋体" w:hint="eastAsia"/>
                <w:color w:val="000000"/>
                <w:szCs w:val="21"/>
              </w:rPr>
            </w:pPr>
          </w:p>
        </w:tc>
      </w:tr>
    </w:tbl>
    <w:p w14:paraId="1C4F4B41" w14:textId="77777777" w:rsidR="0075369D" w:rsidRDefault="0075369D">
      <w:pPr>
        <w:spacing w:line="360" w:lineRule="auto"/>
      </w:pPr>
    </w:p>
    <w:p w14:paraId="2906AE11" w14:textId="77777777" w:rsidR="0075369D" w:rsidRDefault="00000000">
      <w:pPr>
        <w:keepNext/>
        <w:keepLines/>
        <w:numPr>
          <w:ilvl w:val="1"/>
          <w:numId w:val="1"/>
        </w:numPr>
        <w:spacing w:before="260" w:after="260" w:line="360" w:lineRule="auto"/>
        <w:outlineLvl w:val="1"/>
        <w:rPr>
          <w:rFonts w:ascii="宋体" w:hAnsi="宋体" w:cs="宋体" w:hint="eastAsia"/>
          <w:b/>
          <w:bCs/>
          <w:sz w:val="32"/>
          <w:szCs w:val="32"/>
        </w:rPr>
      </w:pPr>
      <w:bookmarkStart w:id="195" w:name="_Toc458414801"/>
      <w:bookmarkStart w:id="196" w:name="_Toc1008301206"/>
      <w:bookmarkStart w:id="197" w:name="_Toc9939"/>
      <w:bookmarkStart w:id="198" w:name="_Toc77150458"/>
      <w:bookmarkStart w:id="199" w:name="_Toc1292222635"/>
      <w:bookmarkStart w:id="200" w:name="_Toc224208632"/>
      <w:bookmarkStart w:id="201" w:name="_Toc11358"/>
      <w:bookmarkStart w:id="202" w:name="_Toc9321"/>
      <w:bookmarkStart w:id="203" w:name="_Toc20684"/>
      <w:bookmarkEnd w:id="193"/>
      <w:bookmarkEnd w:id="194"/>
      <w:bookmarkEnd w:id="195"/>
      <w:r>
        <w:rPr>
          <w:rFonts w:ascii="宋体" w:hAnsi="宋体" w:cs="宋体" w:hint="eastAsia"/>
          <w:b/>
          <w:bCs/>
          <w:sz w:val="32"/>
          <w:szCs w:val="32"/>
        </w:rPr>
        <w:t>服务能力要求</w:t>
      </w:r>
      <w:bookmarkEnd w:id="196"/>
      <w:bookmarkEnd w:id="197"/>
      <w:bookmarkEnd w:id="198"/>
      <w:bookmarkEnd w:id="199"/>
      <w:bookmarkEnd w:id="200"/>
      <w:bookmarkEnd w:id="201"/>
      <w:bookmarkEnd w:id="202"/>
      <w:bookmarkEnd w:id="203"/>
    </w:p>
    <w:p w14:paraId="416831B9" w14:textId="77777777" w:rsidR="0075369D" w:rsidRDefault="00000000">
      <w:pPr>
        <w:spacing w:line="360" w:lineRule="auto"/>
        <w:outlineLvl w:val="2"/>
        <w:rPr>
          <w:rFonts w:ascii="宋体" w:hAnsi="宋体" w:cs="宋体" w:hint="eastAsia"/>
          <w:b/>
          <w:sz w:val="24"/>
          <w:szCs w:val="22"/>
        </w:rPr>
      </w:pPr>
      <w:bookmarkStart w:id="204" w:name="_Toc22294"/>
      <w:bookmarkStart w:id="205" w:name="_Toc30756"/>
      <w:bookmarkStart w:id="206" w:name="_Toc14243"/>
      <w:bookmarkStart w:id="207" w:name="_Toc29584"/>
      <w:bookmarkStart w:id="208" w:name="_Toc77150459"/>
      <w:bookmarkStart w:id="209" w:name="_Toc724910765"/>
      <w:bookmarkStart w:id="210" w:name="_Toc224208633"/>
      <w:bookmarkStart w:id="211" w:name="_Toc883704334"/>
      <w:bookmarkStart w:id="212" w:name="_Toc458372611"/>
      <w:bookmarkStart w:id="213" w:name="_Toc458414803"/>
      <w:r>
        <w:rPr>
          <w:rFonts w:ascii="宋体" w:hAnsi="宋体" w:cs="宋体" w:hint="eastAsia"/>
          <w:b/>
          <w:sz w:val="24"/>
          <w:szCs w:val="22"/>
        </w:rPr>
        <w:t>2</w:t>
      </w:r>
      <w:r>
        <w:rPr>
          <w:rFonts w:ascii="宋体" w:hAnsi="宋体" w:cs="宋体"/>
          <w:b/>
          <w:sz w:val="24"/>
          <w:szCs w:val="22"/>
        </w:rPr>
        <w:t xml:space="preserve">.3.1 </w:t>
      </w:r>
      <w:r>
        <w:rPr>
          <w:rFonts w:ascii="宋体" w:hAnsi="宋体" w:cs="宋体" w:hint="eastAsia"/>
          <w:b/>
          <w:sz w:val="24"/>
          <w:szCs w:val="22"/>
        </w:rPr>
        <w:t>服务团队要求</w:t>
      </w:r>
      <w:bookmarkEnd w:id="204"/>
      <w:bookmarkEnd w:id="205"/>
      <w:bookmarkEnd w:id="206"/>
      <w:bookmarkEnd w:id="207"/>
    </w:p>
    <w:bookmarkEnd w:id="208"/>
    <w:bookmarkEnd w:id="209"/>
    <w:bookmarkEnd w:id="210"/>
    <w:bookmarkEnd w:id="211"/>
    <w:bookmarkEnd w:id="212"/>
    <w:bookmarkEnd w:id="213"/>
    <w:p w14:paraId="4FB5DD10" w14:textId="77777777" w:rsidR="0075369D" w:rsidRDefault="00000000">
      <w:pPr>
        <w:spacing w:line="360" w:lineRule="auto"/>
        <w:ind w:firstLineChars="201" w:firstLine="482"/>
        <w:rPr>
          <w:rFonts w:ascii="宋体" w:hAnsi="宋体" w:cs="仿宋" w:hint="eastAsia"/>
          <w:bCs/>
          <w:sz w:val="24"/>
          <w:shd w:val="clear" w:color="auto" w:fill="FFFFFF"/>
        </w:rPr>
      </w:pPr>
      <w:r>
        <w:rPr>
          <w:rFonts w:ascii="宋体" w:hAnsi="宋体" w:cs="仿宋" w:hint="eastAsia"/>
          <w:bCs/>
          <w:sz w:val="24"/>
          <w:shd w:val="clear" w:color="auto" w:fill="FFFFFF"/>
        </w:rPr>
        <w:t>应答人需提供12人（含1名项目经理）及以上网络安全服务团队，</w:t>
      </w:r>
      <w:r>
        <w:rPr>
          <w:rFonts w:ascii="宋体" w:hAnsi="宋体" w:cs="仿宋"/>
          <w:bCs/>
          <w:sz w:val="24"/>
          <w:shd w:val="clear" w:color="auto" w:fill="FFFFFF"/>
        </w:rPr>
        <w:t>其中项目经理</w:t>
      </w:r>
      <w:r>
        <w:rPr>
          <w:rFonts w:ascii="宋体" w:hAnsi="宋体" w:cs="仿宋" w:hint="eastAsia"/>
          <w:bCs/>
          <w:sz w:val="24"/>
          <w:shd w:val="clear" w:color="auto" w:fill="FFFFFF"/>
        </w:rPr>
        <w:t>1名</w:t>
      </w:r>
      <w:r>
        <w:rPr>
          <w:rFonts w:ascii="宋体" w:hAnsi="宋体" w:cs="仿宋"/>
          <w:bCs/>
          <w:sz w:val="24"/>
          <w:shd w:val="clear" w:color="auto" w:fill="FFFFFF"/>
        </w:rPr>
        <w:t>，至少7人驻场，</w:t>
      </w:r>
      <w:r>
        <w:rPr>
          <w:rFonts w:ascii="宋体" w:hAnsi="宋体" w:cs="仿宋" w:hint="eastAsia"/>
          <w:bCs/>
          <w:sz w:val="24"/>
          <w:shd w:val="clear" w:color="auto" w:fill="FFFFFF"/>
        </w:rPr>
        <w:t>4名</w:t>
      </w:r>
      <w:r>
        <w:rPr>
          <w:rFonts w:ascii="宋体" w:hAnsi="宋体" w:cs="仿宋"/>
          <w:bCs/>
          <w:sz w:val="24"/>
          <w:shd w:val="clear" w:color="auto" w:fill="FFFFFF"/>
        </w:rPr>
        <w:t>专家</w:t>
      </w:r>
      <w:r>
        <w:rPr>
          <w:rFonts w:ascii="宋体" w:hAnsi="宋体" w:cs="仿宋" w:hint="eastAsia"/>
          <w:bCs/>
          <w:sz w:val="24"/>
          <w:shd w:val="clear" w:color="auto" w:fill="FFFFFF"/>
        </w:rPr>
        <w:t>远程支持</w:t>
      </w:r>
      <w:r>
        <w:rPr>
          <w:rFonts w:ascii="宋体" w:hAnsi="宋体" w:cs="仿宋"/>
          <w:bCs/>
          <w:sz w:val="24"/>
          <w:shd w:val="clear" w:color="auto" w:fill="FFFFFF"/>
        </w:rPr>
        <w:t>。</w:t>
      </w:r>
    </w:p>
    <w:p w14:paraId="46C0F12B" w14:textId="77777777" w:rsidR="0075369D" w:rsidRDefault="00000000">
      <w:pPr>
        <w:pStyle w:val="afd"/>
        <w:numPr>
          <w:ilvl w:val="0"/>
          <w:numId w:val="6"/>
        </w:numPr>
        <w:spacing w:line="360" w:lineRule="auto"/>
        <w:ind w:firstLineChars="0"/>
        <w:rPr>
          <w:rFonts w:ascii="宋体" w:hAnsi="宋体" w:cs="仿宋" w:hint="eastAsia"/>
          <w:b/>
          <w:sz w:val="24"/>
          <w:shd w:val="clear" w:color="auto" w:fill="FFFFFF"/>
        </w:rPr>
      </w:pPr>
      <w:r>
        <w:rPr>
          <w:rFonts w:ascii="宋体" w:hAnsi="宋体" w:cs="仿宋" w:hint="eastAsia"/>
          <w:b/>
          <w:sz w:val="24"/>
          <w:shd w:val="clear" w:color="auto" w:fill="FFFFFF"/>
        </w:rPr>
        <w:t>项目经理（驻点1人）</w:t>
      </w:r>
    </w:p>
    <w:p w14:paraId="2F4AB6B9" w14:textId="77777777" w:rsidR="0075369D" w:rsidRDefault="00000000">
      <w:pPr>
        <w:pStyle w:val="afd"/>
        <w:numPr>
          <w:ilvl w:val="0"/>
          <w:numId w:val="7"/>
        </w:numPr>
        <w:spacing w:line="360" w:lineRule="auto"/>
        <w:ind w:firstLineChars="0"/>
        <w:rPr>
          <w:rFonts w:ascii="宋体" w:hAnsi="宋体" w:cs="仿宋" w:hint="eastAsia"/>
          <w:bCs/>
          <w:sz w:val="24"/>
          <w:shd w:val="clear" w:color="auto" w:fill="FFFFFF"/>
        </w:rPr>
      </w:pPr>
      <w:r>
        <w:rPr>
          <w:rFonts w:ascii="宋体" w:hAnsi="宋体" w:cs="仿宋" w:hint="eastAsia"/>
          <w:bCs/>
          <w:sz w:val="24"/>
          <w:shd w:val="clear" w:color="auto" w:fill="FFFFFF"/>
        </w:rPr>
        <w:t>需满足本科及以上学历、5年及以上工作经验（自最高学历毕业时间开始计算）；</w:t>
      </w:r>
    </w:p>
    <w:p w14:paraId="2C75EB5D" w14:textId="77777777" w:rsidR="0075369D" w:rsidRDefault="00000000">
      <w:pPr>
        <w:pStyle w:val="afd"/>
        <w:numPr>
          <w:ilvl w:val="0"/>
          <w:numId w:val="7"/>
        </w:numPr>
        <w:spacing w:line="360" w:lineRule="auto"/>
        <w:ind w:firstLineChars="0"/>
        <w:rPr>
          <w:rFonts w:ascii="宋体" w:hAnsi="宋体" w:cs="仿宋" w:hint="eastAsia"/>
          <w:bCs/>
          <w:sz w:val="24"/>
          <w:shd w:val="clear" w:color="auto" w:fill="FFFFFF"/>
        </w:rPr>
      </w:pPr>
      <w:r>
        <w:rPr>
          <w:rFonts w:ascii="宋体" w:hAnsi="宋体" w:cs="仿宋" w:hint="eastAsia"/>
          <w:bCs/>
          <w:sz w:val="24"/>
          <w:shd w:val="clear" w:color="auto" w:fill="FFFFFF"/>
        </w:rPr>
        <w:t>具备3个及以上网络安全服务的项目经历；</w:t>
      </w:r>
    </w:p>
    <w:p w14:paraId="425098D1" w14:textId="77777777" w:rsidR="0075369D" w:rsidRDefault="00000000">
      <w:pPr>
        <w:pStyle w:val="afd"/>
        <w:numPr>
          <w:ilvl w:val="0"/>
          <w:numId w:val="7"/>
        </w:numPr>
        <w:spacing w:line="360" w:lineRule="auto"/>
        <w:ind w:firstLineChars="0"/>
        <w:rPr>
          <w:rFonts w:ascii="宋体" w:hAnsi="宋体" w:cs="仿宋" w:hint="eastAsia"/>
          <w:bCs/>
          <w:sz w:val="24"/>
          <w:shd w:val="clear" w:color="auto" w:fill="FFFFFF"/>
        </w:rPr>
      </w:pPr>
      <w:r>
        <w:rPr>
          <w:rFonts w:ascii="宋体" w:hAnsi="宋体" w:cs="仿宋" w:hint="eastAsia"/>
          <w:bCs/>
          <w:sz w:val="24"/>
          <w:shd w:val="clear" w:color="auto" w:fill="FFFFFF"/>
        </w:rPr>
        <w:t>具备PMP或人社部颁发的信息系统项目管理师证书或工信部颁发的高级网络信息安全工程师/CISSP/CISP等证书。</w:t>
      </w:r>
    </w:p>
    <w:p w14:paraId="6F093603" w14:textId="77777777" w:rsidR="0075369D" w:rsidRDefault="00000000">
      <w:pPr>
        <w:pStyle w:val="afd"/>
        <w:numPr>
          <w:ilvl w:val="0"/>
          <w:numId w:val="6"/>
        </w:numPr>
        <w:spacing w:line="360" w:lineRule="auto"/>
        <w:ind w:firstLineChars="0"/>
        <w:rPr>
          <w:rFonts w:ascii="宋体" w:hAnsi="宋体" w:cs="仿宋" w:hint="eastAsia"/>
          <w:b/>
          <w:sz w:val="24"/>
          <w:shd w:val="clear" w:color="auto" w:fill="FFFFFF"/>
        </w:rPr>
      </w:pPr>
      <w:r>
        <w:rPr>
          <w:rFonts w:ascii="宋体" w:hAnsi="宋体" w:cs="仿宋" w:hint="eastAsia"/>
          <w:b/>
          <w:sz w:val="24"/>
          <w:shd w:val="clear" w:color="auto" w:fill="FFFFFF"/>
        </w:rPr>
        <w:t>驻点服务人员（至少7人）</w:t>
      </w:r>
    </w:p>
    <w:p w14:paraId="1538743D" w14:textId="77777777" w:rsidR="0075369D" w:rsidRDefault="00000000">
      <w:pPr>
        <w:pStyle w:val="afd"/>
        <w:numPr>
          <w:ilvl w:val="0"/>
          <w:numId w:val="8"/>
        </w:numPr>
        <w:spacing w:line="360" w:lineRule="auto"/>
        <w:ind w:firstLineChars="0"/>
        <w:rPr>
          <w:rFonts w:ascii="宋体" w:hAnsi="宋体" w:cs="仿宋" w:hint="eastAsia"/>
          <w:bCs/>
          <w:sz w:val="24"/>
          <w:shd w:val="clear" w:color="auto" w:fill="FFFFFF"/>
        </w:rPr>
      </w:pPr>
      <w:r>
        <w:rPr>
          <w:rFonts w:ascii="宋体" w:hAnsi="宋体" w:cs="仿宋" w:hint="eastAsia"/>
          <w:bCs/>
          <w:sz w:val="24"/>
          <w:shd w:val="clear" w:color="auto" w:fill="FFFFFF"/>
        </w:rPr>
        <w:t>驻点服务人员（项目经理除外）需同时满足本科及以上学历、3年及以上工作经验（自最高学历毕业时间开始计算）；</w:t>
      </w:r>
    </w:p>
    <w:p w14:paraId="23351CAF" w14:textId="77777777" w:rsidR="0075369D" w:rsidRDefault="00000000">
      <w:pPr>
        <w:pStyle w:val="afd"/>
        <w:numPr>
          <w:ilvl w:val="0"/>
          <w:numId w:val="8"/>
        </w:numPr>
        <w:spacing w:line="360" w:lineRule="auto"/>
        <w:ind w:firstLineChars="0"/>
        <w:rPr>
          <w:rFonts w:ascii="宋体" w:hAnsi="宋体" w:cs="仿宋" w:hint="eastAsia"/>
          <w:bCs/>
          <w:sz w:val="24"/>
          <w:shd w:val="clear" w:color="auto" w:fill="FFFFFF"/>
        </w:rPr>
      </w:pPr>
      <w:r>
        <w:rPr>
          <w:rFonts w:ascii="宋体" w:hAnsi="宋体" w:cs="仿宋" w:hint="eastAsia"/>
          <w:bCs/>
          <w:sz w:val="24"/>
          <w:shd w:val="clear" w:color="auto" w:fill="FFFFFF"/>
        </w:rPr>
        <w:t>至少具备1个及以上的通信类网络安全服务项目经历。</w:t>
      </w:r>
    </w:p>
    <w:p w14:paraId="12A3AD1D" w14:textId="77777777" w:rsidR="0075369D" w:rsidRDefault="00000000">
      <w:pPr>
        <w:pStyle w:val="afd"/>
        <w:numPr>
          <w:ilvl w:val="0"/>
          <w:numId w:val="6"/>
        </w:numPr>
        <w:spacing w:line="360" w:lineRule="auto"/>
        <w:ind w:firstLineChars="0"/>
        <w:rPr>
          <w:rFonts w:ascii="宋体" w:hAnsi="宋体" w:cs="仿宋" w:hint="eastAsia"/>
          <w:b/>
          <w:sz w:val="24"/>
          <w:shd w:val="clear" w:color="auto" w:fill="FFFFFF"/>
        </w:rPr>
      </w:pPr>
      <w:r>
        <w:rPr>
          <w:rFonts w:ascii="宋体" w:hAnsi="宋体" w:cs="仿宋" w:hint="eastAsia"/>
          <w:b/>
          <w:sz w:val="24"/>
          <w:shd w:val="clear" w:color="auto" w:fill="FFFFFF"/>
        </w:rPr>
        <w:t>远程支持专家（至少4人，按需提供）</w:t>
      </w:r>
    </w:p>
    <w:p w14:paraId="0BC36071" w14:textId="77777777" w:rsidR="0075369D" w:rsidRDefault="00000000">
      <w:pPr>
        <w:pStyle w:val="afd"/>
        <w:numPr>
          <w:ilvl w:val="0"/>
          <w:numId w:val="9"/>
        </w:numPr>
        <w:spacing w:line="360" w:lineRule="auto"/>
        <w:ind w:firstLineChars="0"/>
        <w:rPr>
          <w:rFonts w:ascii="宋体" w:hAnsi="宋体" w:cs="仿宋" w:hint="eastAsia"/>
          <w:bCs/>
          <w:sz w:val="24"/>
          <w:shd w:val="clear" w:color="auto" w:fill="FFFFFF"/>
        </w:rPr>
      </w:pPr>
      <w:r>
        <w:rPr>
          <w:rFonts w:ascii="宋体" w:hAnsi="宋体" w:cs="仿宋" w:hint="eastAsia"/>
          <w:bCs/>
          <w:sz w:val="24"/>
          <w:shd w:val="clear" w:color="auto" w:fill="FFFFFF"/>
        </w:rPr>
        <w:t>远程支持专家（不可与现场驻点人员共用），需同时满足本科及以上学历、5年及以上工作经验（自最高学历毕业时间开始计算）；</w:t>
      </w:r>
    </w:p>
    <w:p w14:paraId="0B3C6707" w14:textId="77777777" w:rsidR="0075369D" w:rsidRDefault="00000000">
      <w:pPr>
        <w:pStyle w:val="afd"/>
        <w:numPr>
          <w:ilvl w:val="0"/>
          <w:numId w:val="9"/>
        </w:numPr>
        <w:spacing w:line="360" w:lineRule="auto"/>
        <w:ind w:firstLineChars="0"/>
        <w:rPr>
          <w:rFonts w:ascii="宋体" w:hAnsi="宋体" w:cs="仿宋" w:hint="eastAsia"/>
          <w:bCs/>
          <w:sz w:val="24"/>
          <w:shd w:val="clear" w:color="auto" w:fill="FFFFFF"/>
        </w:rPr>
      </w:pPr>
      <w:r>
        <w:rPr>
          <w:rFonts w:ascii="宋体" w:hAnsi="宋体" w:cs="仿宋" w:hint="eastAsia"/>
          <w:bCs/>
          <w:sz w:val="24"/>
          <w:shd w:val="clear" w:color="auto" w:fill="FFFFFF"/>
        </w:rPr>
        <w:t>具备3个及以上的通信类网络安全服务项目经历；</w:t>
      </w:r>
    </w:p>
    <w:p w14:paraId="63C49294" w14:textId="77777777" w:rsidR="0075369D" w:rsidRDefault="00000000">
      <w:pPr>
        <w:pStyle w:val="afd"/>
        <w:numPr>
          <w:ilvl w:val="0"/>
          <w:numId w:val="9"/>
        </w:numPr>
        <w:spacing w:line="360" w:lineRule="auto"/>
        <w:ind w:firstLineChars="0"/>
        <w:rPr>
          <w:rFonts w:ascii="宋体" w:hAnsi="宋体" w:cs="仿宋" w:hint="eastAsia"/>
          <w:bCs/>
          <w:sz w:val="24"/>
          <w:shd w:val="clear" w:color="auto" w:fill="FFFFFF"/>
        </w:rPr>
      </w:pPr>
      <w:r>
        <w:rPr>
          <w:rFonts w:ascii="宋体" w:hAnsi="宋体" w:cs="仿宋" w:hint="eastAsia"/>
          <w:bCs/>
          <w:sz w:val="24"/>
          <w:shd w:val="clear" w:color="auto" w:fill="FFFFFF"/>
        </w:rPr>
        <w:t>具备工信部颁发的高级网络信息安全工程师/CISSP/CISP/CISAW等安全证书中任意一个安全证书。</w:t>
      </w:r>
    </w:p>
    <w:p w14:paraId="437A985E" w14:textId="77777777" w:rsidR="0075369D" w:rsidRDefault="00000000">
      <w:pPr>
        <w:pStyle w:val="afd"/>
        <w:numPr>
          <w:ilvl w:val="255"/>
          <w:numId w:val="0"/>
        </w:numPr>
        <w:spacing w:line="360" w:lineRule="auto"/>
        <w:rPr>
          <w:rFonts w:ascii="宋体" w:hAnsi="宋体" w:cs="宋体" w:hint="eastAsia"/>
          <w:b/>
          <w:sz w:val="24"/>
          <w:szCs w:val="22"/>
        </w:rPr>
      </w:pPr>
      <w:r>
        <w:rPr>
          <w:rFonts w:ascii="宋体" w:hAnsi="宋体" w:cs="宋体" w:hint="eastAsia"/>
          <w:b/>
          <w:sz w:val="24"/>
          <w:szCs w:val="22"/>
        </w:rPr>
        <w:t>2</w:t>
      </w:r>
      <w:r>
        <w:rPr>
          <w:rFonts w:ascii="宋体" w:hAnsi="宋体" w:cs="宋体"/>
          <w:b/>
          <w:sz w:val="24"/>
          <w:szCs w:val="22"/>
        </w:rPr>
        <w:t>.3.</w:t>
      </w:r>
      <w:r>
        <w:rPr>
          <w:rFonts w:ascii="宋体" w:hAnsi="宋体" w:cs="宋体" w:hint="eastAsia"/>
          <w:b/>
          <w:sz w:val="24"/>
          <w:szCs w:val="22"/>
        </w:rPr>
        <w:t>2</w:t>
      </w:r>
      <w:r>
        <w:rPr>
          <w:rFonts w:ascii="宋体" w:hAnsi="宋体" w:cs="宋体"/>
          <w:b/>
          <w:sz w:val="24"/>
          <w:szCs w:val="22"/>
        </w:rPr>
        <w:t xml:space="preserve"> </w:t>
      </w:r>
      <w:r>
        <w:rPr>
          <w:rFonts w:ascii="宋体" w:hAnsi="宋体" w:cs="宋体" w:hint="eastAsia"/>
          <w:b/>
          <w:sz w:val="24"/>
          <w:szCs w:val="22"/>
        </w:rPr>
        <w:t>服务资质要求</w:t>
      </w:r>
    </w:p>
    <w:p w14:paraId="2C556433" w14:textId="77777777" w:rsidR="0075369D" w:rsidRDefault="00000000">
      <w:pPr>
        <w:pStyle w:val="af5"/>
        <w:numPr>
          <w:ilvl w:val="255"/>
          <w:numId w:val="0"/>
        </w:numPr>
        <w:adjustRightInd w:val="0"/>
        <w:snapToGrid w:val="0"/>
        <w:spacing w:line="360" w:lineRule="auto"/>
        <w:rPr>
          <w:rFonts w:hint="eastAsia"/>
          <w:lang w:eastAsia="zh-CN"/>
        </w:rPr>
      </w:pPr>
      <w:r>
        <w:rPr>
          <w:rFonts w:hint="eastAsia"/>
          <w:lang w:eastAsia="zh-CN"/>
        </w:rPr>
        <w:t>应答人需具备中国通信企业协会颁发的通信网络安全服务能力评定证书（风险评估）一级及以上</w:t>
      </w:r>
    </w:p>
    <w:p w14:paraId="261F1155" w14:textId="77777777" w:rsidR="0075369D" w:rsidRDefault="00000000">
      <w:pPr>
        <w:spacing w:line="360" w:lineRule="auto"/>
        <w:outlineLvl w:val="2"/>
      </w:pPr>
      <w:bookmarkStart w:id="214" w:name="_Toc15013"/>
      <w:bookmarkStart w:id="215" w:name="_Toc224208634"/>
      <w:bookmarkStart w:id="216" w:name="_Toc26000"/>
      <w:bookmarkStart w:id="217" w:name="_Toc25028"/>
      <w:bookmarkStart w:id="218" w:name="_Toc15755"/>
      <w:bookmarkStart w:id="219" w:name="_Toc458414806"/>
      <w:bookmarkStart w:id="220" w:name="_Toc323138341"/>
      <w:bookmarkStart w:id="221" w:name="_Toc36973776"/>
      <w:bookmarkStart w:id="222" w:name="_Toc77150462"/>
      <w:r>
        <w:rPr>
          <w:rFonts w:ascii="宋体" w:hAnsi="宋体" w:cs="宋体" w:hint="eastAsia"/>
          <w:b/>
          <w:sz w:val="24"/>
          <w:szCs w:val="22"/>
        </w:rPr>
        <w:t>2</w:t>
      </w:r>
      <w:r>
        <w:rPr>
          <w:rFonts w:ascii="宋体" w:hAnsi="宋体" w:cs="宋体"/>
          <w:b/>
          <w:sz w:val="24"/>
          <w:szCs w:val="22"/>
        </w:rPr>
        <w:t>.3.</w:t>
      </w:r>
      <w:r>
        <w:rPr>
          <w:rFonts w:ascii="宋体" w:hAnsi="宋体" w:cs="宋体" w:hint="eastAsia"/>
          <w:b/>
          <w:sz w:val="24"/>
          <w:szCs w:val="22"/>
        </w:rPr>
        <w:t>3</w:t>
      </w:r>
      <w:r>
        <w:rPr>
          <w:rFonts w:ascii="宋体" w:hAnsi="宋体" w:cs="宋体"/>
          <w:b/>
          <w:sz w:val="24"/>
          <w:szCs w:val="22"/>
        </w:rPr>
        <w:t xml:space="preserve"> </w:t>
      </w:r>
      <w:r>
        <w:rPr>
          <w:rFonts w:ascii="宋体" w:hAnsi="宋体" w:cs="宋体" w:hint="eastAsia"/>
          <w:b/>
          <w:sz w:val="24"/>
          <w:szCs w:val="22"/>
        </w:rPr>
        <w:t>技术要求</w:t>
      </w:r>
      <w:bookmarkEnd w:id="214"/>
      <w:bookmarkEnd w:id="215"/>
      <w:bookmarkEnd w:id="216"/>
      <w:bookmarkEnd w:id="217"/>
      <w:bookmarkEnd w:id="218"/>
    </w:p>
    <w:p w14:paraId="58E31E4E" w14:textId="77777777" w:rsidR="0075369D" w:rsidRDefault="00000000">
      <w:pPr>
        <w:pStyle w:val="af5"/>
        <w:numPr>
          <w:ilvl w:val="0"/>
          <w:numId w:val="10"/>
        </w:numPr>
        <w:adjustRightInd w:val="0"/>
        <w:snapToGrid w:val="0"/>
        <w:spacing w:line="360" w:lineRule="auto"/>
        <w:ind w:firstLineChars="0"/>
        <w:rPr>
          <w:rFonts w:hint="eastAsia"/>
          <w:lang w:eastAsia="zh-CN"/>
        </w:rPr>
      </w:pPr>
      <w:r>
        <w:rPr>
          <w:rFonts w:hint="eastAsia"/>
          <w:lang w:eastAsia="zh-CN"/>
        </w:rPr>
        <w:t>漏洞挖掘能力</w:t>
      </w:r>
    </w:p>
    <w:p w14:paraId="1C0E89F4" w14:textId="77777777" w:rsidR="0075369D" w:rsidRDefault="00000000">
      <w:pPr>
        <w:pStyle w:val="af5"/>
        <w:numPr>
          <w:ilvl w:val="0"/>
          <w:numId w:val="11"/>
        </w:numPr>
        <w:adjustRightInd w:val="0"/>
        <w:snapToGrid w:val="0"/>
        <w:spacing w:line="360" w:lineRule="auto"/>
        <w:ind w:left="442" w:firstLineChars="0" w:hanging="442"/>
        <w:rPr>
          <w:rFonts w:hint="eastAsia"/>
          <w:lang w:eastAsia="zh-CN"/>
        </w:rPr>
      </w:pPr>
      <w:r>
        <w:rPr>
          <w:rFonts w:hint="eastAsia"/>
          <w:lang w:eastAsia="zh-CN"/>
        </w:rPr>
        <w:t>支持采用基于漏洞原理的验证技术来漏洞验证，如远程溢出类漏洞、命令执行类漏洞、CORS跨域资源共享漏洞，HTTP账号密码明文传输，SQL注</w:t>
      </w:r>
      <w:r>
        <w:rPr>
          <w:rFonts w:hint="eastAsia"/>
          <w:lang w:eastAsia="zh-CN"/>
        </w:rPr>
        <w:lastRenderedPageBreak/>
        <w:t>入，跨站脚本，文件包含漏洞，XPath注入，URL重定向，Session攻击，WEB后台弱口令、常见服务弱口令等；</w:t>
      </w:r>
    </w:p>
    <w:p w14:paraId="74CF1387" w14:textId="77777777" w:rsidR="0075369D" w:rsidRDefault="00000000">
      <w:pPr>
        <w:pStyle w:val="af5"/>
        <w:numPr>
          <w:ilvl w:val="0"/>
          <w:numId w:val="11"/>
        </w:numPr>
        <w:adjustRightInd w:val="0"/>
        <w:snapToGrid w:val="0"/>
        <w:spacing w:line="360" w:lineRule="auto"/>
        <w:ind w:left="442" w:firstLineChars="0" w:hanging="442"/>
        <w:rPr>
          <w:rFonts w:hint="eastAsia"/>
          <w:lang w:eastAsia="zh-CN"/>
        </w:rPr>
      </w:pPr>
      <w:r>
        <w:rPr>
          <w:rFonts w:hint="eastAsia"/>
          <w:lang w:eastAsia="zh-CN"/>
        </w:rPr>
        <w:t>支持对垂直越权、水平越权、弱验证码等逻辑漏洞的扫描策略配置；</w:t>
      </w:r>
    </w:p>
    <w:p w14:paraId="472D2398" w14:textId="77777777" w:rsidR="0075369D" w:rsidRDefault="00000000">
      <w:pPr>
        <w:pStyle w:val="af5"/>
        <w:numPr>
          <w:ilvl w:val="0"/>
          <w:numId w:val="11"/>
        </w:numPr>
        <w:adjustRightInd w:val="0"/>
        <w:snapToGrid w:val="0"/>
        <w:spacing w:line="360" w:lineRule="auto"/>
        <w:ind w:left="442" w:firstLineChars="0" w:hanging="442"/>
        <w:rPr>
          <w:rFonts w:hint="eastAsia"/>
          <w:lang w:eastAsia="zh-CN"/>
        </w:rPr>
      </w:pPr>
      <w:r>
        <w:rPr>
          <w:rFonts w:hint="eastAsia"/>
          <w:lang w:eastAsia="zh-CN"/>
        </w:rPr>
        <w:t>创建系统漏扫任务时，扫描目标支持：IPV4、IPV6、域名同时下发。</w:t>
      </w:r>
    </w:p>
    <w:p w14:paraId="02E51252" w14:textId="77777777" w:rsidR="0075369D" w:rsidRDefault="00000000">
      <w:pPr>
        <w:pStyle w:val="af5"/>
        <w:numPr>
          <w:ilvl w:val="0"/>
          <w:numId w:val="10"/>
        </w:numPr>
        <w:adjustRightInd w:val="0"/>
        <w:snapToGrid w:val="0"/>
        <w:spacing w:line="360" w:lineRule="auto"/>
        <w:ind w:firstLineChars="0"/>
        <w:rPr>
          <w:rFonts w:hint="eastAsia"/>
          <w:lang w:eastAsia="zh-CN"/>
        </w:rPr>
      </w:pPr>
      <w:r>
        <w:rPr>
          <w:rFonts w:hint="eastAsia"/>
          <w:lang w:eastAsia="zh-CN"/>
        </w:rPr>
        <w:t>恶意流量分析能力</w:t>
      </w:r>
    </w:p>
    <w:p w14:paraId="6AB25BB5" w14:textId="77777777" w:rsidR="0075369D" w:rsidRDefault="00000000">
      <w:pPr>
        <w:pStyle w:val="af5"/>
        <w:numPr>
          <w:ilvl w:val="0"/>
          <w:numId w:val="12"/>
        </w:numPr>
        <w:adjustRightInd w:val="0"/>
        <w:snapToGrid w:val="0"/>
        <w:spacing w:line="360" w:lineRule="auto"/>
        <w:ind w:left="442" w:firstLineChars="0" w:hanging="442"/>
        <w:rPr>
          <w:rFonts w:hint="eastAsia"/>
          <w:lang w:eastAsia="zh-CN"/>
        </w:rPr>
      </w:pPr>
      <w:r>
        <w:rPr>
          <w:lang w:eastAsia="zh-CN"/>
        </w:rPr>
        <w:t>支持常见网络协议解析能力，包含但不限于IP、TCP、UDP、ICMP、HTTP、HTTPS、TLS/SSL、DNS、DHCP、SMB、NFS、SSH、TELNET、FTP、TFTP、LDAP、RDP、SMTP、IMAP、POP3、SNMP等</w:t>
      </w:r>
    </w:p>
    <w:p w14:paraId="7A1920D6" w14:textId="77777777" w:rsidR="0075369D" w:rsidRDefault="00000000">
      <w:pPr>
        <w:pStyle w:val="af5"/>
        <w:numPr>
          <w:ilvl w:val="0"/>
          <w:numId w:val="12"/>
        </w:numPr>
        <w:adjustRightInd w:val="0"/>
        <w:snapToGrid w:val="0"/>
        <w:spacing w:line="360" w:lineRule="auto"/>
        <w:ind w:left="442" w:firstLineChars="0" w:hanging="442"/>
        <w:rPr>
          <w:rFonts w:hint="eastAsia"/>
          <w:lang w:eastAsia="zh-CN"/>
        </w:rPr>
      </w:pPr>
      <w:r>
        <w:rPr>
          <w:lang w:eastAsia="zh-CN"/>
        </w:rPr>
        <w:t>支持Web攻击特征的检测能力，检测类型包含但不限于web应用攻击、SQL注入、XPATH注入、目录遍历、LDAP注入、XSS攻击、XXE注入、敏感文件访问、命令执行、爬虫探测、WebShell、反序列化攻击等</w:t>
      </w:r>
    </w:p>
    <w:p w14:paraId="28FC8EC2" w14:textId="77777777" w:rsidR="0075369D" w:rsidRDefault="00000000">
      <w:pPr>
        <w:pStyle w:val="af5"/>
        <w:numPr>
          <w:ilvl w:val="0"/>
          <w:numId w:val="10"/>
        </w:numPr>
        <w:adjustRightInd w:val="0"/>
        <w:snapToGrid w:val="0"/>
        <w:spacing w:line="360" w:lineRule="auto"/>
        <w:ind w:firstLineChars="0"/>
        <w:rPr>
          <w:rFonts w:hint="eastAsia"/>
          <w:lang w:eastAsia="zh-CN"/>
        </w:rPr>
      </w:pPr>
      <w:r>
        <w:rPr>
          <w:rFonts w:hint="eastAsia"/>
          <w:lang w:eastAsia="zh-CN"/>
        </w:rPr>
        <w:t>安全运营能力</w:t>
      </w:r>
    </w:p>
    <w:p w14:paraId="674E2455" w14:textId="77777777" w:rsidR="0075369D" w:rsidRDefault="00000000">
      <w:pPr>
        <w:pStyle w:val="af5"/>
        <w:numPr>
          <w:ilvl w:val="0"/>
          <w:numId w:val="11"/>
        </w:numPr>
        <w:adjustRightInd w:val="0"/>
        <w:snapToGrid w:val="0"/>
        <w:spacing w:line="360" w:lineRule="auto"/>
        <w:ind w:left="442" w:firstLineChars="0" w:hanging="442"/>
        <w:rPr>
          <w:rFonts w:hint="eastAsia"/>
          <w:lang w:eastAsia="zh-CN"/>
        </w:rPr>
      </w:pPr>
      <w:r>
        <w:rPr>
          <w:rFonts w:hint="eastAsia"/>
          <w:lang w:eastAsia="zh-CN"/>
        </w:rPr>
        <w:t>提供对安全监测防护设备配置及策略的验证能力，系统内置的模拟攻击剧本应不少于3000个；内置的攻击剧本模板应不少于100个；</w:t>
      </w:r>
    </w:p>
    <w:p w14:paraId="72CE1B18" w14:textId="77777777" w:rsidR="0075369D" w:rsidRDefault="00000000">
      <w:pPr>
        <w:pStyle w:val="af5"/>
        <w:numPr>
          <w:ilvl w:val="0"/>
          <w:numId w:val="11"/>
        </w:numPr>
        <w:adjustRightInd w:val="0"/>
        <w:snapToGrid w:val="0"/>
        <w:spacing w:line="360" w:lineRule="auto"/>
        <w:ind w:left="442" w:firstLineChars="0" w:hanging="442"/>
        <w:rPr>
          <w:rFonts w:hint="eastAsia"/>
          <w:lang w:eastAsia="zh-CN"/>
        </w:rPr>
      </w:pPr>
      <w:r>
        <w:rPr>
          <w:rFonts w:hint="eastAsia"/>
          <w:lang w:eastAsia="zh-CN"/>
        </w:rPr>
        <w:t>提供网站防护覆盖度核查能力，识别是否受到WAF、IPS等防护，自动测试和分析网站对攻击的拦截能力；支持每次上传站点清单文件不低于500个站点规模；</w:t>
      </w:r>
    </w:p>
    <w:p w14:paraId="26324634" w14:textId="77777777" w:rsidR="0075369D" w:rsidRDefault="00000000">
      <w:pPr>
        <w:pStyle w:val="af5"/>
        <w:numPr>
          <w:ilvl w:val="0"/>
          <w:numId w:val="10"/>
        </w:numPr>
        <w:adjustRightInd w:val="0"/>
        <w:snapToGrid w:val="0"/>
        <w:spacing w:line="360" w:lineRule="auto"/>
        <w:ind w:firstLineChars="0"/>
        <w:rPr>
          <w:rFonts w:hint="eastAsia"/>
          <w:lang w:eastAsia="zh-CN"/>
        </w:rPr>
      </w:pPr>
      <w:r>
        <w:rPr>
          <w:rFonts w:hint="eastAsia"/>
          <w:lang w:eastAsia="zh-CN"/>
        </w:rPr>
        <w:t>AI运营管理能力</w:t>
      </w:r>
    </w:p>
    <w:p w14:paraId="6CEB2CB1" w14:textId="77777777" w:rsidR="0075369D" w:rsidRDefault="00000000">
      <w:pPr>
        <w:pStyle w:val="af5"/>
        <w:numPr>
          <w:ilvl w:val="0"/>
          <w:numId w:val="13"/>
        </w:numPr>
        <w:adjustRightInd w:val="0"/>
        <w:snapToGrid w:val="0"/>
        <w:spacing w:line="360" w:lineRule="auto"/>
        <w:ind w:left="442" w:firstLineChars="0" w:hanging="442"/>
        <w:rPr>
          <w:rFonts w:hint="eastAsia"/>
          <w:lang w:eastAsia="zh-CN"/>
        </w:rPr>
      </w:pPr>
      <w:r>
        <w:rPr>
          <w:rFonts w:hint="eastAsia"/>
          <w:lang w:eastAsia="zh-CN"/>
        </w:rPr>
        <w:t>AI研判功能用于对告警的处置动作、处置描述（处置说明、处置方式、soar剧本名称）对应的预测值等进行模型预测，辅助运营人员研判告警；</w:t>
      </w:r>
    </w:p>
    <w:p w14:paraId="0583A3DF" w14:textId="77777777" w:rsidR="0075369D" w:rsidRDefault="00000000">
      <w:pPr>
        <w:pStyle w:val="af5"/>
        <w:numPr>
          <w:ilvl w:val="0"/>
          <w:numId w:val="13"/>
        </w:numPr>
        <w:adjustRightInd w:val="0"/>
        <w:snapToGrid w:val="0"/>
        <w:spacing w:line="360" w:lineRule="auto"/>
        <w:ind w:left="442" w:firstLineChars="0" w:hanging="442"/>
        <w:rPr>
          <w:rFonts w:hint="eastAsia"/>
          <w:lang w:eastAsia="zh-CN"/>
        </w:rPr>
      </w:pPr>
      <w:r>
        <w:rPr>
          <w:rFonts w:hint="eastAsia"/>
          <w:lang w:eastAsia="zh-CN"/>
        </w:rPr>
        <w:t>支持模型管理，包括编辑、复制、定期清理、删除版本、查看训练结果、发布版本；支持研判开关，开启状态下对告警进行预测，关闭状态下无预测结果。</w:t>
      </w:r>
    </w:p>
    <w:p w14:paraId="223407F3" w14:textId="77777777" w:rsidR="0075369D" w:rsidRDefault="00000000">
      <w:pPr>
        <w:spacing w:line="360" w:lineRule="auto"/>
        <w:outlineLvl w:val="2"/>
        <w:rPr>
          <w:rFonts w:ascii="宋体" w:hAnsi="宋体" w:cs="宋体" w:hint="eastAsia"/>
          <w:b/>
          <w:sz w:val="24"/>
          <w:szCs w:val="22"/>
        </w:rPr>
      </w:pPr>
      <w:bookmarkStart w:id="223" w:name="_Toc20196"/>
      <w:bookmarkStart w:id="224" w:name="_Toc224208635"/>
      <w:bookmarkStart w:id="225" w:name="_Toc14979"/>
      <w:bookmarkStart w:id="226" w:name="_Toc16673"/>
      <w:bookmarkStart w:id="227" w:name="_Toc18103"/>
      <w:r>
        <w:rPr>
          <w:rFonts w:ascii="宋体" w:hAnsi="宋体" w:cs="宋体" w:hint="eastAsia"/>
          <w:b/>
          <w:sz w:val="24"/>
          <w:szCs w:val="22"/>
        </w:rPr>
        <w:t>2.3.</w:t>
      </w:r>
      <w:bookmarkStart w:id="228" w:name="_Toc456023849"/>
      <w:r>
        <w:rPr>
          <w:rFonts w:ascii="宋体" w:hAnsi="宋体" w:cs="宋体" w:hint="eastAsia"/>
          <w:b/>
          <w:sz w:val="24"/>
          <w:szCs w:val="22"/>
        </w:rPr>
        <w:t>4</w:t>
      </w:r>
      <w:r>
        <w:rPr>
          <w:rFonts w:ascii="宋体" w:hAnsi="宋体" w:cs="宋体"/>
          <w:b/>
          <w:sz w:val="24"/>
          <w:szCs w:val="22"/>
        </w:rPr>
        <w:t xml:space="preserve"> </w:t>
      </w:r>
      <w:r>
        <w:rPr>
          <w:rFonts w:ascii="宋体" w:hAnsi="宋体" w:cs="宋体" w:hint="eastAsia"/>
          <w:b/>
          <w:sz w:val="24"/>
          <w:szCs w:val="22"/>
        </w:rPr>
        <w:t>维护要求</w:t>
      </w:r>
      <w:bookmarkEnd w:id="219"/>
      <w:bookmarkEnd w:id="220"/>
      <w:bookmarkEnd w:id="221"/>
      <w:bookmarkEnd w:id="222"/>
      <w:bookmarkEnd w:id="223"/>
      <w:bookmarkEnd w:id="224"/>
      <w:bookmarkEnd w:id="225"/>
      <w:bookmarkEnd w:id="226"/>
      <w:bookmarkEnd w:id="227"/>
      <w:bookmarkEnd w:id="228"/>
    </w:p>
    <w:p w14:paraId="4121C3E1" w14:textId="77777777" w:rsidR="0075369D" w:rsidRDefault="00000000">
      <w:pPr>
        <w:spacing w:line="360" w:lineRule="auto"/>
        <w:ind w:firstLineChars="200" w:firstLine="480"/>
        <w:rPr>
          <w:rFonts w:ascii="宋体" w:hAnsi="宋体" w:cs="宋体" w:hint="eastAsia"/>
          <w:sz w:val="24"/>
          <w:szCs w:val="22"/>
        </w:rPr>
      </w:pPr>
      <w:r>
        <w:rPr>
          <w:rFonts w:ascii="宋体" w:hAnsi="宋体" w:cs="宋体" w:hint="eastAsia"/>
          <w:sz w:val="24"/>
          <w:szCs w:val="22"/>
        </w:rPr>
        <w:t>乙方应为甲方提供及时有效的应急技术支持，以延续保证长期可靠的服务。</w:t>
      </w:r>
    </w:p>
    <w:p w14:paraId="476456F8" w14:textId="77777777" w:rsidR="0075369D" w:rsidRDefault="00000000">
      <w:pPr>
        <w:spacing w:line="360" w:lineRule="auto"/>
        <w:outlineLvl w:val="2"/>
        <w:rPr>
          <w:rFonts w:ascii="宋体" w:hAnsi="宋体" w:cs="宋体" w:hint="eastAsia"/>
          <w:b/>
          <w:sz w:val="24"/>
          <w:szCs w:val="22"/>
        </w:rPr>
      </w:pPr>
      <w:bookmarkStart w:id="229" w:name="_Toc795479249"/>
      <w:bookmarkStart w:id="230" w:name="_Toc16783"/>
      <w:bookmarkStart w:id="231" w:name="_Toc224208636"/>
      <w:bookmarkStart w:id="232" w:name="_Toc77150463"/>
      <w:bookmarkStart w:id="233" w:name="_Toc456023850"/>
      <w:bookmarkStart w:id="234" w:name="_Toc458414807"/>
      <w:bookmarkStart w:id="235" w:name="_Toc2147437571"/>
      <w:bookmarkStart w:id="236" w:name="_Toc30130"/>
      <w:bookmarkStart w:id="237" w:name="_Toc11838"/>
      <w:bookmarkStart w:id="238" w:name="_Toc15375"/>
      <w:r>
        <w:rPr>
          <w:rFonts w:ascii="宋体" w:hAnsi="宋体" w:cs="宋体" w:hint="eastAsia"/>
          <w:b/>
          <w:sz w:val="24"/>
          <w:szCs w:val="22"/>
        </w:rPr>
        <w:t>2.3.5 应急响应</w:t>
      </w:r>
      <w:bookmarkEnd w:id="229"/>
      <w:bookmarkEnd w:id="230"/>
      <w:bookmarkEnd w:id="231"/>
      <w:bookmarkEnd w:id="232"/>
      <w:bookmarkEnd w:id="233"/>
      <w:bookmarkEnd w:id="234"/>
      <w:bookmarkEnd w:id="235"/>
      <w:bookmarkEnd w:id="236"/>
      <w:bookmarkEnd w:id="237"/>
      <w:bookmarkEnd w:id="238"/>
    </w:p>
    <w:p w14:paraId="6F6945D4" w14:textId="77777777" w:rsidR="0075369D" w:rsidRDefault="00000000">
      <w:pPr>
        <w:spacing w:line="360" w:lineRule="auto"/>
        <w:ind w:firstLineChars="200" w:firstLine="480"/>
        <w:rPr>
          <w:rFonts w:ascii="宋体" w:hAnsi="宋体" w:cs="宋体" w:hint="eastAsia"/>
          <w:sz w:val="24"/>
          <w:szCs w:val="22"/>
        </w:rPr>
      </w:pPr>
      <w:r>
        <w:rPr>
          <w:rFonts w:ascii="宋体" w:hAnsi="宋体" w:cs="宋体" w:hint="eastAsia"/>
          <w:sz w:val="24"/>
          <w:szCs w:val="22"/>
        </w:rPr>
        <w:t>乙方应提供正常工作时间（工作日，8:30至18:00）的电话技术支持。</w:t>
      </w:r>
    </w:p>
    <w:p w14:paraId="34A8B8C6" w14:textId="77777777" w:rsidR="0075369D" w:rsidRDefault="00000000">
      <w:pPr>
        <w:spacing w:line="360" w:lineRule="auto"/>
        <w:outlineLvl w:val="2"/>
        <w:rPr>
          <w:rFonts w:ascii="宋体" w:hAnsi="宋体" w:cs="宋体" w:hint="eastAsia"/>
          <w:b/>
          <w:sz w:val="24"/>
          <w:szCs w:val="22"/>
        </w:rPr>
      </w:pPr>
      <w:bookmarkStart w:id="239" w:name="_Toc77150464"/>
      <w:bookmarkStart w:id="240" w:name="_Toc1373084315"/>
      <w:bookmarkStart w:id="241" w:name="_Toc458372614"/>
      <w:bookmarkStart w:id="242" w:name="_Toc1534035368"/>
      <w:bookmarkStart w:id="243" w:name="_Toc224208637"/>
      <w:bookmarkStart w:id="244" w:name="_Toc458414808"/>
      <w:bookmarkStart w:id="245" w:name="_Toc22215"/>
      <w:bookmarkStart w:id="246" w:name="_Toc8452"/>
      <w:bookmarkStart w:id="247" w:name="_Toc6138"/>
      <w:bookmarkStart w:id="248" w:name="_Toc5855"/>
      <w:r>
        <w:rPr>
          <w:rFonts w:ascii="宋体" w:hAnsi="宋体" w:cs="宋体" w:hint="eastAsia"/>
          <w:b/>
          <w:sz w:val="24"/>
          <w:szCs w:val="22"/>
        </w:rPr>
        <w:t>2.3.6 知识产权与保密要求</w:t>
      </w:r>
      <w:bookmarkEnd w:id="239"/>
      <w:bookmarkEnd w:id="240"/>
      <w:bookmarkEnd w:id="241"/>
      <w:bookmarkEnd w:id="242"/>
      <w:bookmarkEnd w:id="243"/>
      <w:bookmarkEnd w:id="244"/>
      <w:bookmarkEnd w:id="245"/>
      <w:bookmarkEnd w:id="246"/>
      <w:bookmarkEnd w:id="247"/>
      <w:bookmarkEnd w:id="248"/>
    </w:p>
    <w:p w14:paraId="47C546FE" w14:textId="77777777" w:rsidR="0075369D" w:rsidRDefault="00000000">
      <w:pPr>
        <w:spacing w:line="360" w:lineRule="auto"/>
        <w:ind w:firstLineChars="200" w:firstLine="480"/>
        <w:rPr>
          <w:rFonts w:ascii="宋体" w:hAnsi="宋体" w:cs="宋体" w:hint="eastAsia"/>
          <w:sz w:val="24"/>
          <w:szCs w:val="22"/>
        </w:rPr>
      </w:pPr>
      <w:r>
        <w:rPr>
          <w:rFonts w:ascii="宋体" w:hAnsi="宋体" w:cs="宋体" w:hint="eastAsia"/>
          <w:sz w:val="24"/>
          <w:szCs w:val="22"/>
        </w:rPr>
        <w:t>甲方拥有本规范书要求的所有图纸、技术规格、手册、文件和软件的使用权。</w:t>
      </w:r>
    </w:p>
    <w:p w14:paraId="7641478D" w14:textId="77777777" w:rsidR="0075369D" w:rsidRDefault="00000000">
      <w:pPr>
        <w:spacing w:line="360" w:lineRule="auto"/>
        <w:ind w:firstLineChars="200" w:firstLine="480"/>
        <w:rPr>
          <w:rFonts w:ascii="宋体" w:hAnsi="宋体" w:cs="宋体" w:hint="eastAsia"/>
          <w:sz w:val="24"/>
          <w:szCs w:val="22"/>
        </w:rPr>
      </w:pPr>
      <w:r>
        <w:rPr>
          <w:rFonts w:ascii="宋体" w:hAnsi="宋体" w:cs="宋体" w:hint="eastAsia"/>
          <w:sz w:val="24"/>
          <w:szCs w:val="22"/>
        </w:rPr>
        <w:t>甲方拥有本规范书的所有权，乙方拥有对本规范书的使用权。乙方只被允许</w:t>
      </w:r>
      <w:r>
        <w:rPr>
          <w:rFonts w:ascii="宋体" w:hAnsi="宋体" w:cs="宋体" w:hint="eastAsia"/>
          <w:sz w:val="24"/>
          <w:szCs w:val="22"/>
        </w:rPr>
        <w:lastRenderedPageBreak/>
        <w:t>将本规范书用于参加</w:t>
      </w:r>
      <w:r>
        <w:rPr>
          <w:rFonts w:ascii="宋体" w:hAnsi="宋体" w:cs="宋体" w:hint="eastAsia"/>
          <w:sz w:val="24"/>
          <w:szCs w:val="22"/>
          <w:lang w:eastAsia="zh-Hans"/>
        </w:rPr>
        <w:t>中国移动（浙江）创新研究院有限</w:t>
      </w:r>
      <w:r>
        <w:rPr>
          <w:rFonts w:ascii="宋体" w:hAnsi="宋体" w:cs="宋体" w:hint="eastAsia"/>
          <w:sz w:val="24"/>
          <w:szCs w:val="22"/>
        </w:rPr>
        <w:t>公司信息安全评估服务项目的采购选型应答，未经甲方许可，乙方不得将本规范书用于其他用途，或者向任何第三方泄漏本规范书内容。否则，甲方保有对乙方追究法律责任的权利，由此造成甲方的任何额外费用或者损失，均由乙方负责。</w:t>
      </w:r>
    </w:p>
    <w:p w14:paraId="4162DECA" w14:textId="77777777" w:rsidR="0075369D" w:rsidRDefault="00000000">
      <w:pPr>
        <w:spacing w:line="360" w:lineRule="auto"/>
        <w:ind w:firstLineChars="200" w:firstLine="480"/>
        <w:rPr>
          <w:rFonts w:ascii="宋体" w:hAnsi="宋体" w:cs="宋体" w:hint="eastAsia"/>
          <w:sz w:val="24"/>
          <w:szCs w:val="22"/>
        </w:rPr>
      </w:pPr>
      <w:r>
        <w:rPr>
          <w:rFonts w:ascii="宋体" w:hAnsi="宋体" w:cs="宋体" w:hint="eastAsia"/>
          <w:sz w:val="24"/>
          <w:szCs w:val="22"/>
        </w:rPr>
        <w:t>甲方拥有对本规范书的标的使用权及符合合同约定使用范围的修改权。</w:t>
      </w:r>
    </w:p>
    <w:p w14:paraId="0909BAE3" w14:textId="77777777" w:rsidR="0075369D" w:rsidRDefault="00000000">
      <w:pPr>
        <w:spacing w:line="360" w:lineRule="auto"/>
        <w:ind w:firstLineChars="200" w:firstLine="480"/>
        <w:rPr>
          <w:rFonts w:ascii="宋体" w:hAnsi="宋体" w:cs="宋体" w:hint="eastAsia"/>
          <w:sz w:val="24"/>
          <w:szCs w:val="22"/>
        </w:rPr>
      </w:pPr>
      <w:r>
        <w:rPr>
          <w:rFonts w:ascii="宋体" w:hAnsi="宋体" w:cs="宋体" w:hint="eastAsia"/>
          <w:sz w:val="24"/>
          <w:szCs w:val="22"/>
        </w:rPr>
        <w:t>甲方拥有本协议规定的所有产品、文档、软件、软件代码、项目服务、支持服务（包括计算机软件及技术规格）中包含的使用权。</w:t>
      </w:r>
    </w:p>
    <w:p w14:paraId="55533F3A" w14:textId="77777777" w:rsidR="0075369D" w:rsidRDefault="00000000">
      <w:pPr>
        <w:spacing w:line="360" w:lineRule="auto"/>
        <w:ind w:firstLineChars="200" w:firstLine="480"/>
        <w:rPr>
          <w:rFonts w:ascii="宋体" w:hAnsi="宋体" w:cs="宋体" w:hint="eastAsia"/>
          <w:sz w:val="24"/>
          <w:szCs w:val="22"/>
        </w:rPr>
      </w:pPr>
      <w:r>
        <w:rPr>
          <w:rFonts w:ascii="宋体" w:hAnsi="宋体" w:cs="宋体" w:hint="eastAsia"/>
          <w:sz w:val="24"/>
          <w:szCs w:val="22"/>
        </w:rPr>
        <w:t>甲方对使用过程中在系统内产生的数据拥有所有权，并在进行系统运行和维护过程中具有专有的使用权。</w:t>
      </w:r>
    </w:p>
    <w:p w14:paraId="75AD66B7" w14:textId="77777777" w:rsidR="0075369D" w:rsidRDefault="00000000">
      <w:pPr>
        <w:spacing w:line="360" w:lineRule="auto"/>
        <w:ind w:firstLineChars="200" w:firstLine="480"/>
        <w:rPr>
          <w:rFonts w:ascii="宋体" w:hAnsi="宋体" w:cs="宋体" w:hint="eastAsia"/>
          <w:sz w:val="24"/>
          <w:szCs w:val="22"/>
        </w:rPr>
      </w:pPr>
      <w:r>
        <w:rPr>
          <w:rFonts w:ascii="宋体" w:hAnsi="宋体" w:cs="宋体" w:hint="eastAsia"/>
          <w:sz w:val="24"/>
          <w:szCs w:val="22"/>
        </w:rPr>
        <w:t>乙方对在签订和履行合同过程中从对方获知的技术和商业秘密，无论在合同期限内还是合同终止后，均应遵守国家有关版权、专利、商标等知识产权方面的法律规定及部颁的保密规定中的相关条文，尊重甲方的知识产权，对所知悉的甲方的技术秘密和商业秘密负有保密责任。未经甲方事先书面授权，乙方不得以任何方式向任何其他组织或个人泄露、转让、许可使用、交换、赠与或与任何其他组织或个人共同使用或不正当使用（依据国家或上级部门指示所做的赠送除外）。违反本条规定给对方造成损失的，违约方应负相关的法律责任。</w:t>
      </w:r>
    </w:p>
    <w:p w14:paraId="184A61BC" w14:textId="77777777" w:rsidR="0075369D" w:rsidRDefault="00000000">
      <w:pPr>
        <w:spacing w:line="360" w:lineRule="auto"/>
        <w:outlineLvl w:val="2"/>
        <w:rPr>
          <w:rFonts w:ascii="宋体" w:hAnsi="宋体" w:cs="宋体" w:hint="eastAsia"/>
          <w:b/>
          <w:sz w:val="24"/>
          <w:szCs w:val="22"/>
        </w:rPr>
      </w:pPr>
      <w:bookmarkStart w:id="249" w:name="_Toc77150465"/>
      <w:bookmarkStart w:id="250" w:name="_Toc1991247741"/>
      <w:bookmarkStart w:id="251" w:name="_Toc568811543"/>
      <w:bookmarkStart w:id="252" w:name="_Toc458414809"/>
      <w:bookmarkStart w:id="253" w:name="_Toc7465"/>
      <w:bookmarkStart w:id="254" w:name="_Toc224208638"/>
      <w:bookmarkStart w:id="255" w:name="_Toc10147"/>
      <w:bookmarkStart w:id="256" w:name="_Toc3969"/>
      <w:bookmarkStart w:id="257" w:name="_Toc19857"/>
      <w:r>
        <w:rPr>
          <w:rFonts w:ascii="宋体" w:hAnsi="宋体" w:cs="宋体" w:hint="eastAsia"/>
          <w:b/>
          <w:sz w:val="24"/>
          <w:szCs w:val="22"/>
        </w:rPr>
        <w:t>2.3.7 服务承诺要求</w:t>
      </w:r>
      <w:bookmarkEnd w:id="249"/>
      <w:bookmarkEnd w:id="250"/>
      <w:bookmarkEnd w:id="251"/>
      <w:bookmarkEnd w:id="252"/>
      <w:bookmarkEnd w:id="253"/>
      <w:bookmarkEnd w:id="254"/>
      <w:bookmarkEnd w:id="255"/>
      <w:bookmarkEnd w:id="256"/>
      <w:bookmarkEnd w:id="257"/>
    </w:p>
    <w:p w14:paraId="78942875" w14:textId="77777777" w:rsidR="0075369D" w:rsidRDefault="00000000">
      <w:pPr>
        <w:spacing w:line="360" w:lineRule="auto"/>
        <w:ind w:firstLineChars="200" w:firstLine="480"/>
        <w:rPr>
          <w:rFonts w:ascii="宋体" w:hAnsi="宋体" w:cs="宋体" w:hint="eastAsia"/>
          <w:sz w:val="24"/>
          <w:szCs w:val="22"/>
        </w:rPr>
      </w:pPr>
      <w:r>
        <w:rPr>
          <w:rFonts w:ascii="宋体" w:hAnsi="宋体" w:cs="宋体" w:hint="eastAsia"/>
          <w:sz w:val="24"/>
          <w:szCs w:val="22"/>
        </w:rPr>
        <w:t>乙方应对服务质量、服务进度、资源配置、保密义务以及售后服务做出实质承诺。</w:t>
      </w:r>
    </w:p>
    <w:p w14:paraId="66E1156D" w14:textId="77777777" w:rsidR="0075369D" w:rsidRDefault="00000000">
      <w:pPr>
        <w:spacing w:line="360" w:lineRule="auto"/>
        <w:outlineLvl w:val="2"/>
        <w:rPr>
          <w:rFonts w:ascii="宋体" w:hAnsi="宋体" w:cs="宋体" w:hint="eastAsia"/>
          <w:b/>
          <w:sz w:val="24"/>
          <w:szCs w:val="22"/>
        </w:rPr>
      </w:pPr>
      <w:bookmarkStart w:id="258" w:name="_Toc515628139"/>
      <w:bookmarkStart w:id="259" w:name="_Toc458414810"/>
      <w:bookmarkStart w:id="260" w:name="_Toc224208639"/>
      <w:bookmarkStart w:id="261" w:name="_Toc3799"/>
      <w:bookmarkStart w:id="262" w:name="_Toc1565890404"/>
      <w:bookmarkStart w:id="263" w:name="_Toc77150466"/>
      <w:bookmarkStart w:id="264" w:name="_Toc23667"/>
      <w:bookmarkStart w:id="265" w:name="_Toc29416"/>
      <w:bookmarkStart w:id="266" w:name="_Toc11528"/>
      <w:r>
        <w:rPr>
          <w:rFonts w:ascii="宋体" w:hAnsi="宋体" w:cs="宋体" w:hint="eastAsia"/>
          <w:b/>
          <w:sz w:val="24"/>
          <w:szCs w:val="22"/>
        </w:rPr>
        <w:t>2.3.8 质量控制</w:t>
      </w:r>
      <w:bookmarkEnd w:id="258"/>
      <w:bookmarkEnd w:id="259"/>
      <w:bookmarkEnd w:id="260"/>
      <w:bookmarkEnd w:id="261"/>
      <w:bookmarkEnd w:id="262"/>
      <w:bookmarkEnd w:id="263"/>
      <w:bookmarkEnd w:id="264"/>
      <w:bookmarkEnd w:id="265"/>
      <w:bookmarkEnd w:id="266"/>
    </w:p>
    <w:p w14:paraId="63FFD96D" w14:textId="77777777" w:rsidR="0075369D" w:rsidRDefault="00000000">
      <w:pPr>
        <w:spacing w:line="360" w:lineRule="auto"/>
        <w:ind w:firstLineChars="200" w:firstLine="480"/>
        <w:rPr>
          <w:rFonts w:ascii="宋体" w:hAnsi="宋体" w:cs="宋体" w:hint="eastAsia"/>
          <w:sz w:val="24"/>
          <w:szCs w:val="22"/>
        </w:rPr>
      </w:pPr>
      <w:r>
        <w:rPr>
          <w:rFonts w:ascii="宋体" w:hAnsi="宋体" w:cs="宋体" w:hint="eastAsia"/>
          <w:sz w:val="24"/>
          <w:szCs w:val="22"/>
        </w:rPr>
        <w:t>为保证项目质量，在项目实施过程中须进行严格的项目管理。项目管理主要包括制定评估计划管理、评估流程管理、评估质量管理、工作日志管理、响应时间管理、文档管理、会议管理、对评估过程中的各种情况进行处理和跟踪、与用户及用户授权第三方沟通交流等。</w:t>
      </w:r>
    </w:p>
    <w:p w14:paraId="69451AD7" w14:textId="77777777" w:rsidR="0075369D" w:rsidRDefault="00000000">
      <w:pPr>
        <w:keepNext/>
        <w:keepLines/>
        <w:numPr>
          <w:ilvl w:val="1"/>
          <w:numId w:val="1"/>
        </w:numPr>
        <w:spacing w:before="100" w:beforeAutospacing="1" w:after="260" w:line="360" w:lineRule="auto"/>
        <w:outlineLvl w:val="1"/>
        <w:rPr>
          <w:rFonts w:ascii="宋体" w:hAnsi="宋体" w:cs="宋体" w:hint="eastAsia"/>
          <w:b/>
          <w:bCs/>
          <w:sz w:val="32"/>
          <w:szCs w:val="32"/>
        </w:rPr>
      </w:pPr>
      <w:bookmarkStart w:id="267" w:name="_Toc477380676"/>
      <w:bookmarkStart w:id="268" w:name="_Toc9853"/>
      <w:bookmarkStart w:id="269" w:name="_Toc507926043"/>
      <w:bookmarkStart w:id="270" w:name="_Toc224208640"/>
      <w:bookmarkStart w:id="271" w:name="_Toc1065616528"/>
      <w:bookmarkStart w:id="272" w:name="_Toc77150467"/>
      <w:bookmarkStart w:id="273" w:name="_Toc31913"/>
      <w:bookmarkStart w:id="274" w:name="_Toc29233"/>
      <w:bookmarkStart w:id="275" w:name="_Toc14640"/>
      <w:bookmarkStart w:id="276" w:name="_Toc231035906"/>
      <w:bookmarkStart w:id="277" w:name="_Toc477380687"/>
      <w:r>
        <w:rPr>
          <w:rFonts w:ascii="宋体" w:hAnsi="宋体" w:cs="宋体" w:hint="eastAsia"/>
          <w:b/>
          <w:bCs/>
          <w:sz w:val="32"/>
          <w:szCs w:val="32"/>
        </w:rPr>
        <w:t>服务</w:t>
      </w:r>
      <w:bookmarkEnd w:id="267"/>
      <w:r>
        <w:rPr>
          <w:rFonts w:ascii="宋体" w:hAnsi="宋体" w:cs="宋体" w:hint="eastAsia"/>
          <w:b/>
          <w:bCs/>
          <w:sz w:val="32"/>
          <w:szCs w:val="32"/>
        </w:rPr>
        <w:t>期限</w:t>
      </w:r>
      <w:bookmarkEnd w:id="268"/>
      <w:bookmarkEnd w:id="269"/>
      <w:bookmarkEnd w:id="270"/>
      <w:bookmarkEnd w:id="271"/>
      <w:bookmarkEnd w:id="272"/>
      <w:bookmarkEnd w:id="273"/>
      <w:bookmarkEnd w:id="274"/>
      <w:bookmarkEnd w:id="275"/>
    </w:p>
    <w:p w14:paraId="1B2387B2" w14:textId="77777777" w:rsidR="0075369D" w:rsidRDefault="00000000">
      <w:pPr>
        <w:spacing w:before="100" w:beforeAutospacing="1" w:after="40" w:line="360" w:lineRule="auto"/>
        <w:ind w:firstLine="420"/>
        <w:rPr>
          <w:rFonts w:ascii="宋体" w:hAnsi="宋体" w:cs="宋体" w:hint="eastAsia"/>
          <w:sz w:val="24"/>
          <w:szCs w:val="22"/>
        </w:rPr>
      </w:pPr>
      <w:r>
        <w:rPr>
          <w:rFonts w:ascii="宋体" w:hAnsi="宋体" w:cs="宋体" w:hint="eastAsia"/>
          <w:sz w:val="24"/>
          <w:szCs w:val="22"/>
        </w:rPr>
        <w:t>本次安全服务期为合同签订之日起24个月。</w:t>
      </w:r>
    </w:p>
    <w:p w14:paraId="3D19661F" w14:textId="77777777" w:rsidR="0075369D" w:rsidRDefault="00000000">
      <w:pPr>
        <w:keepNext/>
        <w:keepLines/>
        <w:spacing w:line="360" w:lineRule="auto"/>
        <w:outlineLvl w:val="1"/>
        <w:rPr>
          <w:rFonts w:ascii="宋体" w:hAnsi="宋体" w:cs="宋体" w:hint="eastAsia"/>
          <w:b/>
          <w:bCs/>
          <w:sz w:val="32"/>
          <w:szCs w:val="28"/>
        </w:rPr>
      </w:pPr>
      <w:bookmarkStart w:id="278" w:name="_Toc10217"/>
      <w:bookmarkStart w:id="279" w:name="_Toc77150471"/>
      <w:bookmarkStart w:id="280" w:name="_Toc315697257"/>
      <w:bookmarkStart w:id="281" w:name="_Toc32174147"/>
      <w:bookmarkStart w:id="282" w:name="_Toc465507876"/>
      <w:bookmarkStart w:id="283" w:name="_Toc224208641"/>
      <w:bookmarkStart w:id="284" w:name="_Toc22024"/>
      <w:bookmarkStart w:id="285" w:name="_Toc8585"/>
      <w:bookmarkStart w:id="286" w:name="_Toc13696"/>
      <w:bookmarkEnd w:id="276"/>
      <w:bookmarkEnd w:id="277"/>
      <w:r>
        <w:rPr>
          <w:rFonts w:ascii="宋体" w:hAnsi="宋体" w:cs="宋体" w:hint="eastAsia"/>
          <w:b/>
          <w:bCs/>
          <w:sz w:val="32"/>
          <w:szCs w:val="28"/>
        </w:rPr>
        <w:t>2.5 供应商退出机制</w:t>
      </w:r>
      <w:bookmarkEnd w:id="278"/>
      <w:bookmarkEnd w:id="279"/>
      <w:bookmarkEnd w:id="280"/>
      <w:bookmarkEnd w:id="281"/>
      <w:bookmarkEnd w:id="282"/>
      <w:bookmarkEnd w:id="283"/>
      <w:bookmarkEnd w:id="284"/>
      <w:bookmarkEnd w:id="285"/>
      <w:bookmarkEnd w:id="286"/>
    </w:p>
    <w:p w14:paraId="126F7E6B" w14:textId="77777777" w:rsidR="0075369D" w:rsidRDefault="00000000">
      <w:pPr>
        <w:spacing w:line="360" w:lineRule="auto"/>
        <w:ind w:firstLineChars="200" w:firstLine="480"/>
        <w:rPr>
          <w:rFonts w:ascii="宋体" w:hAnsi="宋体" w:cs="宋体" w:hint="eastAsia"/>
          <w:sz w:val="24"/>
          <w:szCs w:val="22"/>
        </w:rPr>
      </w:pPr>
      <w:r>
        <w:rPr>
          <w:rFonts w:ascii="宋体" w:hAnsi="宋体" w:cs="宋体" w:hint="eastAsia"/>
          <w:sz w:val="24"/>
          <w:szCs w:val="22"/>
        </w:rPr>
        <w:t>合同期内，未经甲方书面同意或甲方要求乙方不得单方面更换项目团队成员；</w:t>
      </w:r>
      <w:r>
        <w:rPr>
          <w:rFonts w:ascii="宋体" w:hAnsi="宋体" w:cs="宋体" w:hint="eastAsia"/>
          <w:sz w:val="24"/>
          <w:szCs w:val="22"/>
        </w:rPr>
        <w:lastRenderedPageBreak/>
        <w:t>甲方要求更换者，乙方应在接到甲方书面通知后10个工作日内指派甲方认可的人员进入本项目服务团队；新成员必须要具备与被更换者同等或更高的资质条件（学历、工作经验、专业资质等），否则甲方有权终止合同，并由乙方赔偿甲方因合同终止造成的所有损失。</w:t>
      </w:r>
      <w:bookmarkEnd w:id="0"/>
      <w:bookmarkEnd w:id="1"/>
    </w:p>
    <w:sectPr w:rsidR="0075369D">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9D697D" w14:textId="77777777" w:rsidR="008255BB" w:rsidRDefault="008255BB">
      <w:r>
        <w:separator/>
      </w:r>
    </w:p>
  </w:endnote>
  <w:endnote w:type="continuationSeparator" w:id="0">
    <w:p w14:paraId="13E40545" w14:textId="77777777" w:rsidR="008255BB" w:rsidRDefault="00825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9251391"/>
    </w:sdtPr>
    <w:sdtContent>
      <w:p w14:paraId="584AE542" w14:textId="77777777" w:rsidR="0075369D" w:rsidRDefault="00000000">
        <w:pPr>
          <w:pStyle w:val="ae"/>
          <w:jc w:val="center"/>
        </w:pPr>
        <w:r>
          <w:fldChar w:fldCharType="begin"/>
        </w:r>
        <w:r>
          <w:instrText>PAGE   \* MERGEFORMAT</w:instrText>
        </w:r>
        <w:r>
          <w:fldChar w:fldCharType="separate"/>
        </w:r>
        <w:r>
          <w:rPr>
            <w:lang w:val="zh-CN"/>
          </w:rPr>
          <w:t>7</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8A3580" w14:textId="77777777" w:rsidR="008255BB" w:rsidRDefault="008255BB">
      <w:r>
        <w:separator/>
      </w:r>
    </w:p>
  </w:footnote>
  <w:footnote w:type="continuationSeparator" w:id="0">
    <w:p w14:paraId="51A658EC" w14:textId="77777777" w:rsidR="008255BB" w:rsidRDefault="008255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AE52EFD"/>
    <w:multiLevelType w:val="singleLevel"/>
    <w:tmpl w:val="9AE52EFD"/>
    <w:lvl w:ilvl="0">
      <w:start w:val="1"/>
      <w:numFmt w:val="decimal"/>
      <w:lvlText w:val="%1."/>
      <w:lvlJc w:val="left"/>
      <w:pPr>
        <w:ind w:left="425" w:hanging="425"/>
      </w:pPr>
      <w:rPr>
        <w:rFonts w:hint="default"/>
      </w:rPr>
    </w:lvl>
  </w:abstractNum>
  <w:abstractNum w:abstractNumId="1" w15:restartNumberingAfterBreak="0">
    <w:nsid w:val="AAFCA3C0"/>
    <w:multiLevelType w:val="multilevel"/>
    <w:tmpl w:val="AAFCA3C0"/>
    <w:lvl w:ilvl="0">
      <w:start w:val="1"/>
      <w:numFmt w:val="decimal"/>
      <w:lvlText w:val="%1)"/>
      <w:lvlJc w:val="left"/>
      <w:pPr>
        <w:ind w:left="1360" w:hanging="440"/>
      </w:pPr>
    </w:lvl>
    <w:lvl w:ilvl="1">
      <w:start w:val="1"/>
      <w:numFmt w:val="lowerLetter"/>
      <w:lvlText w:val="%2)"/>
      <w:lvlJc w:val="left"/>
      <w:pPr>
        <w:ind w:left="1800" w:hanging="440"/>
      </w:pPr>
    </w:lvl>
    <w:lvl w:ilvl="2">
      <w:start w:val="1"/>
      <w:numFmt w:val="lowerRoman"/>
      <w:lvlText w:val="%3."/>
      <w:lvlJc w:val="right"/>
      <w:pPr>
        <w:ind w:left="2240" w:hanging="440"/>
      </w:pPr>
    </w:lvl>
    <w:lvl w:ilvl="3">
      <w:start w:val="1"/>
      <w:numFmt w:val="decimal"/>
      <w:lvlText w:val="%4."/>
      <w:lvlJc w:val="left"/>
      <w:pPr>
        <w:ind w:left="2680" w:hanging="440"/>
      </w:pPr>
    </w:lvl>
    <w:lvl w:ilvl="4">
      <w:start w:val="1"/>
      <w:numFmt w:val="lowerLetter"/>
      <w:lvlText w:val="%5)"/>
      <w:lvlJc w:val="left"/>
      <w:pPr>
        <w:ind w:left="3120" w:hanging="440"/>
      </w:pPr>
    </w:lvl>
    <w:lvl w:ilvl="5">
      <w:start w:val="1"/>
      <w:numFmt w:val="lowerRoman"/>
      <w:lvlText w:val="%6."/>
      <w:lvlJc w:val="right"/>
      <w:pPr>
        <w:ind w:left="3560" w:hanging="440"/>
      </w:pPr>
    </w:lvl>
    <w:lvl w:ilvl="6">
      <w:start w:val="1"/>
      <w:numFmt w:val="decimal"/>
      <w:lvlText w:val="%7."/>
      <w:lvlJc w:val="left"/>
      <w:pPr>
        <w:ind w:left="4000" w:hanging="440"/>
      </w:pPr>
    </w:lvl>
    <w:lvl w:ilvl="7">
      <w:start w:val="1"/>
      <w:numFmt w:val="lowerLetter"/>
      <w:lvlText w:val="%8)"/>
      <w:lvlJc w:val="left"/>
      <w:pPr>
        <w:ind w:left="4440" w:hanging="440"/>
      </w:pPr>
    </w:lvl>
    <w:lvl w:ilvl="8">
      <w:start w:val="1"/>
      <w:numFmt w:val="lowerRoman"/>
      <w:lvlText w:val="%9."/>
      <w:lvlJc w:val="right"/>
      <w:pPr>
        <w:ind w:left="4880" w:hanging="440"/>
      </w:pPr>
    </w:lvl>
  </w:abstractNum>
  <w:abstractNum w:abstractNumId="2" w15:restartNumberingAfterBreak="0">
    <w:nsid w:val="B988F31F"/>
    <w:multiLevelType w:val="multilevel"/>
    <w:tmpl w:val="B988F31F"/>
    <w:lvl w:ilvl="0">
      <w:start w:val="1"/>
      <w:numFmt w:val="decimal"/>
      <w:lvlText w:val="%1)"/>
      <w:lvlJc w:val="left"/>
      <w:pPr>
        <w:ind w:left="1360" w:hanging="440"/>
      </w:pPr>
    </w:lvl>
    <w:lvl w:ilvl="1">
      <w:start w:val="1"/>
      <w:numFmt w:val="lowerLetter"/>
      <w:lvlText w:val="%2)"/>
      <w:lvlJc w:val="left"/>
      <w:pPr>
        <w:ind w:left="1800" w:hanging="440"/>
      </w:pPr>
    </w:lvl>
    <w:lvl w:ilvl="2">
      <w:start w:val="1"/>
      <w:numFmt w:val="lowerRoman"/>
      <w:lvlText w:val="%3."/>
      <w:lvlJc w:val="right"/>
      <w:pPr>
        <w:ind w:left="2240" w:hanging="440"/>
      </w:pPr>
    </w:lvl>
    <w:lvl w:ilvl="3">
      <w:start w:val="1"/>
      <w:numFmt w:val="decimal"/>
      <w:lvlText w:val="%4."/>
      <w:lvlJc w:val="left"/>
      <w:pPr>
        <w:ind w:left="2680" w:hanging="440"/>
      </w:pPr>
    </w:lvl>
    <w:lvl w:ilvl="4">
      <w:start w:val="1"/>
      <w:numFmt w:val="lowerLetter"/>
      <w:lvlText w:val="%5)"/>
      <w:lvlJc w:val="left"/>
      <w:pPr>
        <w:ind w:left="3120" w:hanging="440"/>
      </w:pPr>
    </w:lvl>
    <w:lvl w:ilvl="5">
      <w:start w:val="1"/>
      <w:numFmt w:val="lowerRoman"/>
      <w:lvlText w:val="%6."/>
      <w:lvlJc w:val="right"/>
      <w:pPr>
        <w:ind w:left="3560" w:hanging="440"/>
      </w:pPr>
    </w:lvl>
    <w:lvl w:ilvl="6">
      <w:start w:val="1"/>
      <w:numFmt w:val="decimal"/>
      <w:lvlText w:val="%7."/>
      <w:lvlJc w:val="left"/>
      <w:pPr>
        <w:ind w:left="4000" w:hanging="440"/>
      </w:pPr>
    </w:lvl>
    <w:lvl w:ilvl="7">
      <w:start w:val="1"/>
      <w:numFmt w:val="lowerLetter"/>
      <w:lvlText w:val="%8)"/>
      <w:lvlJc w:val="left"/>
      <w:pPr>
        <w:ind w:left="4440" w:hanging="440"/>
      </w:pPr>
    </w:lvl>
    <w:lvl w:ilvl="8">
      <w:start w:val="1"/>
      <w:numFmt w:val="lowerRoman"/>
      <w:lvlText w:val="%9."/>
      <w:lvlJc w:val="right"/>
      <w:pPr>
        <w:ind w:left="4880" w:hanging="440"/>
      </w:pPr>
    </w:lvl>
  </w:abstractNum>
  <w:abstractNum w:abstractNumId="3" w15:restartNumberingAfterBreak="0">
    <w:nsid w:val="D2DB9CC8"/>
    <w:multiLevelType w:val="singleLevel"/>
    <w:tmpl w:val="D2DB9CC8"/>
    <w:lvl w:ilvl="0">
      <w:start w:val="1"/>
      <w:numFmt w:val="decimal"/>
      <w:lvlText w:val="(%1)"/>
      <w:lvlJc w:val="left"/>
      <w:pPr>
        <w:ind w:left="425" w:hanging="425"/>
      </w:pPr>
      <w:rPr>
        <w:rFonts w:hint="default"/>
      </w:rPr>
    </w:lvl>
  </w:abstractNum>
  <w:abstractNum w:abstractNumId="4" w15:restartNumberingAfterBreak="0">
    <w:nsid w:val="E3C94E9F"/>
    <w:multiLevelType w:val="singleLevel"/>
    <w:tmpl w:val="E3C94E9F"/>
    <w:lvl w:ilvl="0">
      <w:start w:val="1"/>
      <w:numFmt w:val="decimal"/>
      <w:lvlText w:val="(%1)"/>
      <w:lvlJc w:val="left"/>
      <w:pPr>
        <w:ind w:left="425" w:hanging="425"/>
      </w:pPr>
      <w:rPr>
        <w:rFonts w:hint="default"/>
      </w:rPr>
    </w:lvl>
  </w:abstractNum>
  <w:abstractNum w:abstractNumId="5" w15:restartNumberingAfterBreak="0">
    <w:nsid w:val="FB437B0D"/>
    <w:multiLevelType w:val="multilevel"/>
    <w:tmpl w:val="FB437B0D"/>
    <w:lvl w:ilvl="0">
      <w:start w:val="1"/>
      <w:numFmt w:val="decimal"/>
      <w:lvlText w:val="%1."/>
      <w:lvlJc w:val="left"/>
      <w:pPr>
        <w:ind w:left="0" w:firstLine="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6953119"/>
    <w:multiLevelType w:val="multilevel"/>
    <w:tmpl w:val="36953119"/>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4058F9E0"/>
    <w:multiLevelType w:val="singleLevel"/>
    <w:tmpl w:val="4058F9E0"/>
    <w:lvl w:ilvl="0">
      <w:start w:val="1"/>
      <w:numFmt w:val="decimal"/>
      <w:lvlText w:val="(%1)"/>
      <w:lvlJc w:val="left"/>
      <w:pPr>
        <w:ind w:left="425" w:hanging="425"/>
      </w:pPr>
      <w:rPr>
        <w:rFonts w:hint="default"/>
      </w:rPr>
    </w:lvl>
  </w:abstractNum>
  <w:abstractNum w:abstractNumId="8" w15:restartNumberingAfterBreak="0">
    <w:nsid w:val="43294031"/>
    <w:multiLevelType w:val="multilevel"/>
    <w:tmpl w:val="43294031"/>
    <w:lvl w:ilvl="0">
      <w:start w:val="1"/>
      <w:numFmt w:val="decimal"/>
      <w:suff w:val="nothing"/>
      <w:lvlText w:val="%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9" w15:restartNumberingAfterBreak="0">
    <w:nsid w:val="469A4CDE"/>
    <w:multiLevelType w:val="multilevel"/>
    <w:tmpl w:val="469A4CDE"/>
    <w:lvl w:ilvl="0">
      <w:start w:val="1"/>
      <w:numFmt w:val="lowerLetter"/>
      <w:lvlText w:val="%1)"/>
      <w:lvlJc w:val="left"/>
      <w:pPr>
        <w:tabs>
          <w:tab w:val="left" w:pos="1265"/>
        </w:tabs>
        <w:ind w:left="1265" w:hanging="420"/>
      </w:pPr>
    </w:lvl>
    <w:lvl w:ilvl="1">
      <w:start w:val="1"/>
      <w:numFmt w:val="decimal"/>
      <w:lvlText w:val="%2）"/>
      <w:lvlJc w:val="left"/>
      <w:pPr>
        <w:ind w:left="1625" w:hanging="360"/>
      </w:pPr>
      <w:rPr>
        <w:rFonts w:hint="default"/>
      </w:rPr>
    </w:lvl>
    <w:lvl w:ilvl="2">
      <w:start w:val="1"/>
      <w:numFmt w:val="lowerRoman"/>
      <w:lvlText w:val="%3."/>
      <w:lvlJc w:val="right"/>
      <w:pPr>
        <w:tabs>
          <w:tab w:val="left" w:pos="2105"/>
        </w:tabs>
        <w:ind w:left="2105" w:hanging="420"/>
      </w:pPr>
    </w:lvl>
    <w:lvl w:ilvl="3">
      <w:start w:val="1"/>
      <w:numFmt w:val="decimal"/>
      <w:lvlText w:val="%4."/>
      <w:lvlJc w:val="left"/>
      <w:pPr>
        <w:tabs>
          <w:tab w:val="left" w:pos="2525"/>
        </w:tabs>
        <w:ind w:left="2525" w:hanging="420"/>
      </w:pPr>
    </w:lvl>
    <w:lvl w:ilvl="4">
      <w:start w:val="1"/>
      <w:numFmt w:val="lowerLetter"/>
      <w:lvlText w:val="%5)"/>
      <w:lvlJc w:val="left"/>
      <w:pPr>
        <w:tabs>
          <w:tab w:val="left" w:pos="2945"/>
        </w:tabs>
        <w:ind w:left="2945" w:hanging="420"/>
      </w:pPr>
    </w:lvl>
    <w:lvl w:ilvl="5">
      <w:start w:val="1"/>
      <w:numFmt w:val="lowerRoman"/>
      <w:lvlText w:val="%6."/>
      <w:lvlJc w:val="right"/>
      <w:pPr>
        <w:tabs>
          <w:tab w:val="left" w:pos="3365"/>
        </w:tabs>
        <w:ind w:left="3365" w:hanging="420"/>
      </w:pPr>
    </w:lvl>
    <w:lvl w:ilvl="6">
      <w:start w:val="1"/>
      <w:numFmt w:val="decimal"/>
      <w:lvlText w:val="%7."/>
      <w:lvlJc w:val="left"/>
      <w:pPr>
        <w:tabs>
          <w:tab w:val="left" w:pos="3785"/>
        </w:tabs>
        <w:ind w:left="3785" w:hanging="420"/>
      </w:pPr>
    </w:lvl>
    <w:lvl w:ilvl="7">
      <w:start w:val="1"/>
      <w:numFmt w:val="lowerLetter"/>
      <w:lvlText w:val="%8)"/>
      <w:lvlJc w:val="left"/>
      <w:pPr>
        <w:tabs>
          <w:tab w:val="left" w:pos="4205"/>
        </w:tabs>
        <w:ind w:left="4205" w:hanging="420"/>
      </w:pPr>
    </w:lvl>
    <w:lvl w:ilvl="8">
      <w:start w:val="1"/>
      <w:numFmt w:val="lowerRoman"/>
      <w:lvlText w:val="%9."/>
      <w:lvlJc w:val="right"/>
      <w:pPr>
        <w:tabs>
          <w:tab w:val="left" w:pos="4625"/>
        </w:tabs>
        <w:ind w:left="4625" w:hanging="420"/>
      </w:pPr>
    </w:lvl>
  </w:abstractNum>
  <w:abstractNum w:abstractNumId="10" w15:restartNumberingAfterBreak="0">
    <w:nsid w:val="6BC028F1"/>
    <w:multiLevelType w:val="multilevel"/>
    <w:tmpl w:val="6BC028F1"/>
    <w:lvl w:ilvl="0">
      <w:start w:val="1"/>
      <w:numFmt w:val="decimal"/>
      <w:lvlText w:val="%1)"/>
      <w:lvlJc w:val="left"/>
      <w:pPr>
        <w:ind w:left="1360" w:hanging="440"/>
      </w:pPr>
    </w:lvl>
    <w:lvl w:ilvl="1">
      <w:start w:val="1"/>
      <w:numFmt w:val="lowerLetter"/>
      <w:lvlText w:val="%2)"/>
      <w:lvlJc w:val="left"/>
      <w:pPr>
        <w:ind w:left="1800" w:hanging="440"/>
      </w:pPr>
    </w:lvl>
    <w:lvl w:ilvl="2">
      <w:start w:val="1"/>
      <w:numFmt w:val="lowerRoman"/>
      <w:lvlText w:val="%3."/>
      <w:lvlJc w:val="right"/>
      <w:pPr>
        <w:ind w:left="2240" w:hanging="440"/>
      </w:pPr>
    </w:lvl>
    <w:lvl w:ilvl="3">
      <w:start w:val="1"/>
      <w:numFmt w:val="decimal"/>
      <w:lvlText w:val="%4."/>
      <w:lvlJc w:val="left"/>
      <w:pPr>
        <w:ind w:left="2680" w:hanging="440"/>
      </w:pPr>
    </w:lvl>
    <w:lvl w:ilvl="4">
      <w:start w:val="1"/>
      <w:numFmt w:val="lowerLetter"/>
      <w:lvlText w:val="%5)"/>
      <w:lvlJc w:val="left"/>
      <w:pPr>
        <w:ind w:left="3120" w:hanging="440"/>
      </w:pPr>
    </w:lvl>
    <w:lvl w:ilvl="5">
      <w:start w:val="1"/>
      <w:numFmt w:val="lowerRoman"/>
      <w:lvlText w:val="%6."/>
      <w:lvlJc w:val="right"/>
      <w:pPr>
        <w:ind w:left="3560" w:hanging="440"/>
      </w:pPr>
    </w:lvl>
    <w:lvl w:ilvl="6">
      <w:start w:val="1"/>
      <w:numFmt w:val="decimal"/>
      <w:lvlText w:val="%7."/>
      <w:lvlJc w:val="left"/>
      <w:pPr>
        <w:ind w:left="4000" w:hanging="440"/>
      </w:pPr>
    </w:lvl>
    <w:lvl w:ilvl="7">
      <w:start w:val="1"/>
      <w:numFmt w:val="lowerLetter"/>
      <w:lvlText w:val="%8)"/>
      <w:lvlJc w:val="left"/>
      <w:pPr>
        <w:ind w:left="4440" w:hanging="440"/>
      </w:pPr>
    </w:lvl>
    <w:lvl w:ilvl="8">
      <w:start w:val="1"/>
      <w:numFmt w:val="lowerRoman"/>
      <w:lvlText w:val="%9."/>
      <w:lvlJc w:val="right"/>
      <w:pPr>
        <w:ind w:left="4880" w:hanging="440"/>
      </w:pPr>
    </w:lvl>
  </w:abstractNum>
  <w:abstractNum w:abstractNumId="11" w15:restartNumberingAfterBreak="0">
    <w:nsid w:val="6CA00487"/>
    <w:multiLevelType w:val="multilevel"/>
    <w:tmpl w:val="6CA00487"/>
    <w:lvl w:ilvl="0">
      <w:start w:val="1"/>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7B1E6224"/>
    <w:multiLevelType w:val="singleLevel"/>
    <w:tmpl w:val="7B1E6224"/>
    <w:lvl w:ilvl="0">
      <w:start w:val="1"/>
      <w:numFmt w:val="decimal"/>
      <w:lvlText w:val="%1."/>
      <w:lvlJc w:val="left"/>
      <w:pPr>
        <w:ind w:left="425" w:hanging="425"/>
      </w:pPr>
      <w:rPr>
        <w:rFonts w:hint="default"/>
      </w:rPr>
    </w:lvl>
  </w:abstractNum>
  <w:num w:numId="1" w16cid:durableId="1832790542">
    <w:abstractNumId w:val="11"/>
  </w:num>
  <w:num w:numId="2" w16cid:durableId="365059785">
    <w:abstractNumId w:val="6"/>
  </w:num>
  <w:num w:numId="3" w16cid:durableId="795297687">
    <w:abstractNumId w:val="9"/>
  </w:num>
  <w:num w:numId="4" w16cid:durableId="239486240">
    <w:abstractNumId w:val="5"/>
  </w:num>
  <w:num w:numId="5" w16cid:durableId="567037110">
    <w:abstractNumId w:val="8"/>
  </w:num>
  <w:num w:numId="6" w16cid:durableId="913390933">
    <w:abstractNumId w:val="12"/>
  </w:num>
  <w:num w:numId="7" w16cid:durableId="723797591">
    <w:abstractNumId w:val="7"/>
  </w:num>
  <w:num w:numId="8" w16cid:durableId="842823512">
    <w:abstractNumId w:val="4"/>
  </w:num>
  <w:num w:numId="9" w16cid:durableId="396365037">
    <w:abstractNumId w:val="3"/>
  </w:num>
  <w:num w:numId="10" w16cid:durableId="528835208">
    <w:abstractNumId w:val="0"/>
  </w:num>
  <w:num w:numId="11" w16cid:durableId="221411510">
    <w:abstractNumId w:val="2"/>
  </w:num>
  <w:num w:numId="12" w16cid:durableId="1628589267">
    <w:abstractNumId w:val="1"/>
  </w:num>
  <w:num w:numId="13" w16cid:durableId="9371656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bordersDoNotSurroundHeader/>
  <w:bordersDoNotSurroundFooter/>
  <w:trackRevisions/>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zU3NGE0OThhODRjNTQ1ZDQxNjM4MWRmMzhjNWM4M2YifQ=="/>
  </w:docVars>
  <w:rsids>
    <w:rsidRoot w:val="00A6140D"/>
    <w:rsid w:val="0000020C"/>
    <w:rsid w:val="00001832"/>
    <w:rsid w:val="00001C27"/>
    <w:rsid w:val="00001F89"/>
    <w:rsid w:val="0000317D"/>
    <w:rsid w:val="00003569"/>
    <w:rsid w:val="00004824"/>
    <w:rsid w:val="00004FFB"/>
    <w:rsid w:val="00006395"/>
    <w:rsid w:val="0000781F"/>
    <w:rsid w:val="00007E5B"/>
    <w:rsid w:val="0001016D"/>
    <w:rsid w:val="00010405"/>
    <w:rsid w:val="00011A86"/>
    <w:rsid w:val="00011DFA"/>
    <w:rsid w:val="0001273B"/>
    <w:rsid w:val="000128BF"/>
    <w:rsid w:val="00012A2F"/>
    <w:rsid w:val="00012B2B"/>
    <w:rsid w:val="00014E02"/>
    <w:rsid w:val="0001537B"/>
    <w:rsid w:val="00015EE3"/>
    <w:rsid w:val="00016FE0"/>
    <w:rsid w:val="00017553"/>
    <w:rsid w:val="000209A6"/>
    <w:rsid w:val="0002161B"/>
    <w:rsid w:val="000217A9"/>
    <w:rsid w:val="00022FB0"/>
    <w:rsid w:val="00023101"/>
    <w:rsid w:val="0002370F"/>
    <w:rsid w:val="000253B9"/>
    <w:rsid w:val="00025A84"/>
    <w:rsid w:val="0002646E"/>
    <w:rsid w:val="00026BCE"/>
    <w:rsid w:val="000274B3"/>
    <w:rsid w:val="00030691"/>
    <w:rsid w:val="00031887"/>
    <w:rsid w:val="0003234D"/>
    <w:rsid w:val="00032DC2"/>
    <w:rsid w:val="000339DC"/>
    <w:rsid w:val="00033C33"/>
    <w:rsid w:val="00033F7A"/>
    <w:rsid w:val="00034298"/>
    <w:rsid w:val="000353A5"/>
    <w:rsid w:val="00037B22"/>
    <w:rsid w:val="000400FB"/>
    <w:rsid w:val="00040F89"/>
    <w:rsid w:val="000413A8"/>
    <w:rsid w:val="0004389D"/>
    <w:rsid w:val="00043B20"/>
    <w:rsid w:val="0004407A"/>
    <w:rsid w:val="0004423D"/>
    <w:rsid w:val="00044FD1"/>
    <w:rsid w:val="000459F6"/>
    <w:rsid w:val="000467D7"/>
    <w:rsid w:val="00050164"/>
    <w:rsid w:val="0005149C"/>
    <w:rsid w:val="000519AC"/>
    <w:rsid w:val="00053168"/>
    <w:rsid w:val="00053180"/>
    <w:rsid w:val="000543F3"/>
    <w:rsid w:val="00055738"/>
    <w:rsid w:val="00055C6C"/>
    <w:rsid w:val="00055F90"/>
    <w:rsid w:val="0005640C"/>
    <w:rsid w:val="00056E38"/>
    <w:rsid w:val="00057E0F"/>
    <w:rsid w:val="00060472"/>
    <w:rsid w:val="00061A09"/>
    <w:rsid w:val="00061C32"/>
    <w:rsid w:val="00063315"/>
    <w:rsid w:val="00063D8E"/>
    <w:rsid w:val="00065B48"/>
    <w:rsid w:val="00066782"/>
    <w:rsid w:val="0006691D"/>
    <w:rsid w:val="00066D5A"/>
    <w:rsid w:val="00067C15"/>
    <w:rsid w:val="00071581"/>
    <w:rsid w:val="00072542"/>
    <w:rsid w:val="0007325C"/>
    <w:rsid w:val="00073DA8"/>
    <w:rsid w:val="00073FEA"/>
    <w:rsid w:val="000753A3"/>
    <w:rsid w:val="00075F25"/>
    <w:rsid w:val="00080DCA"/>
    <w:rsid w:val="00081F8D"/>
    <w:rsid w:val="0008228A"/>
    <w:rsid w:val="00082783"/>
    <w:rsid w:val="000827CD"/>
    <w:rsid w:val="000857A4"/>
    <w:rsid w:val="00085FDB"/>
    <w:rsid w:val="000870C7"/>
    <w:rsid w:val="00090FB5"/>
    <w:rsid w:val="00091AED"/>
    <w:rsid w:val="00093F3D"/>
    <w:rsid w:val="00095E76"/>
    <w:rsid w:val="000960DA"/>
    <w:rsid w:val="000A1475"/>
    <w:rsid w:val="000A2102"/>
    <w:rsid w:val="000A3F6C"/>
    <w:rsid w:val="000A7717"/>
    <w:rsid w:val="000B0E0D"/>
    <w:rsid w:val="000B1AB8"/>
    <w:rsid w:val="000B24FD"/>
    <w:rsid w:val="000B414F"/>
    <w:rsid w:val="000B4B7F"/>
    <w:rsid w:val="000B5170"/>
    <w:rsid w:val="000B7A0B"/>
    <w:rsid w:val="000B7BA5"/>
    <w:rsid w:val="000C0980"/>
    <w:rsid w:val="000C0999"/>
    <w:rsid w:val="000C2296"/>
    <w:rsid w:val="000C2791"/>
    <w:rsid w:val="000C380D"/>
    <w:rsid w:val="000C4AA7"/>
    <w:rsid w:val="000C6617"/>
    <w:rsid w:val="000D08A6"/>
    <w:rsid w:val="000D0BFE"/>
    <w:rsid w:val="000D0EF7"/>
    <w:rsid w:val="000D23A2"/>
    <w:rsid w:val="000D37D4"/>
    <w:rsid w:val="000D3D52"/>
    <w:rsid w:val="000D45F8"/>
    <w:rsid w:val="000D4C8D"/>
    <w:rsid w:val="000E13A9"/>
    <w:rsid w:val="000E33A8"/>
    <w:rsid w:val="000E3F53"/>
    <w:rsid w:val="000E4983"/>
    <w:rsid w:val="000E4A1D"/>
    <w:rsid w:val="000E4B14"/>
    <w:rsid w:val="000E5679"/>
    <w:rsid w:val="000E5897"/>
    <w:rsid w:val="000E5D7C"/>
    <w:rsid w:val="000E6381"/>
    <w:rsid w:val="000E6FBA"/>
    <w:rsid w:val="000F04D3"/>
    <w:rsid w:val="000F0C2C"/>
    <w:rsid w:val="000F2959"/>
    <w:rsid w:val="000F2A82"/>
    <w:rsid w:val="000F3027"/>
    <w:rsid w:val="000F4A2F"/>
    <w:rsid w:val="000F504A"/>
    <w:rsid w:val="000F5632"/>
    <w:rsid w:val="000F58BD"/>
    <w:rsid w:val="000F6423"/>
    <w:rsid w:val="000F659F"/>
    <w:rsid w:val="000F6BD5"/>
    <w:rsid w:val="001019AB"/>
    <w:rsid w:val="00101BFC"/>
    <w:rsid w:val="00101D7E"/>
    <w:rsid w:val="0010242F"/>
    <w:rsid w:val="00102450"/>
    <w:rsid w:val="001027FD"/>
    <w:rsid w:val="00103ED2"/>
    <w:rsid w:val="00103F62"/>
    <w:rsid w:val="001044F3"/>
    <w:rsid w:val="00104C3E"/>
    <w:rsid w:val="001064BC"/>
    <w:rsid w:val="001100F5"/>
    <w:rsid w:val="00110DDA"/>
    <w:rsid w:val="001112AD"/>
    <w:rsid w:val="00111E0C"/>
    <w:rsid w:val="0011361F"/>
    <w:rsid w:val="00113EC1"/>
    <w:rsid w:val="00115463"/>
    <w:rsid w:val="00115AC2"/>
    <w:rsid w:val="00115E1E"/>
    <w:rsid w:val="0011631F"/>
    <w:rsid w:val="001163B4"/>
    <w:rsid w:val="001176A6"/>
    <w:rsid w:val="001211C3"/>
    <w:rsid w:val="00121575"/>
    <w:rsid w:val="00123264"/>
    <w:rsid w:val="00124195"/>
    <w:rsid w:val="0012456A"/>
    <w:rsid w:val="00124A42"/>
    <w:rsid w:val="00124EF8"/>
    <w:rsid w:val="00125524"/>
    <w:rsid w:val="00131030"/>
    <w:rsid w:val="00132778"/>
    <w:rsid w:val="00133951"/>
    <w:rsid w:val="00135234"/>
    <w:rsid w:val="0013558A"/>
    <w:rsid w:val="00136D91"/>
    <w:rsid w:val="001411B1"/>
    <w:rsid w:val="001412BE"/>
    <w:rsid w:val="001425CD"/>
    <w:rsid w:val="0014263F"/>
    <w:rsid w:val="00142F0E"/>
    <w:rsid w:val="001436CF"/>
    <w:rsid w:val="00144028"/>
    <w:rsid w:val="0014577E"/>
    <w:rsid w:val="001463CC"/>
    <w:rsid w:val="00146C0D"/>
    <w:rsid w:val="00146C1E"/>
    <w:rsid w:val="00147C5B"/>
    <w:rsid w:val="001509BD"/>
    <w:rsid w:val="001520BF"/>
    <w:rsid w:val="00155408"/>
    <w:rsid w:val="0015643C"/>
    <w:rsid w:val="0015753E"/>
    <w:rsid w:val="0015771B"/>
    <w:rsid w:val="00157CC4"/>
    <w:rsid w:val="001606C3"/>
    <w:rsid w:val="00163C7E"/>
    <w:rsid w:val="00164272"/>
    <w:rsid w:val="001652E0"/>
    <w:rsid w:val="0016589C"/>
    <w:rsid w:val="00165E55"/>
    <w:rsid w:val="00165F17"/>
    <w:rsid w:val="001667DB"/>
    <w:rsid w:val="00167822"/>
    <w:rsid w:val="00174AD4"/>
    <w:rsid w:val="00174C22"/>
    <w:rsid w:val="00174C33"/>
    <w:rsid w:val="001753AF"/>
    <w:rsid w:val="00176DE4"/>
    <w:rsid w:val="00177750"/>
    <w:rsid w:val="001800C0"/>
    <w:rsid w:val="00180E25"/>
    <w:rsid w:val="0018139F"/>
    <w:rsid w:val="001819DB"/>
    <w:rsid w:val="00181C6C"/>
    <w:rsid w:val="0018287D"/>
    <w:rsid w:val="001832FD"/>
    <w:rsid w:val="001834DE"/>
    <w:rsid w:val="00183908"/>
    <w:rsid w:val="00185097"/>
    <w:rsid w:val="001865AC"/>
    <w:rsid w:val="00186C2B"/>
    <w:rsid w:val="001870DE"/>
    <w:rsid w:val="001874D0"/>
    <w:rsid w:val="00190053"/>
    <w:rsid w:val="001900F7"/>
    <w:rsid w:val="00190C68"/>
    <w:rsid w:val="00190EE3"/>
    <w:rsid w:val="00191E14"/>
    <w:rsid w:val="00191EEB"/>
    <w:rsid w:val="001925C1"/>
    <w:rsid w:val="00192DE5"/>
    <w:rsid w:val="00193D3A"/>
    <w:rsid w:val="0019470F"/>
    <w:rsid w:val="00194835"/>
    <w:rsid w:val="00195402"/>
    <w:rsid w:val="001965F8"/>
    <w:rsid w:val="0019727A"/>
    <w:rsid w:val="00197696"/>
    <w:rsid w:val="001977F9"/>
    <w:rsid w:val="001A02F5"/>
    <w:rsid w:val="001A0EA4"/>
    <w:rsid w:val="001A11C1"/>
    <w:rsid w:val="001A1364"/>
    <w:rsid w:val="001A2083"/>
    <w:rsid w:val="001A2527"/>
    <w:rsid w:val="001A274A"/>
    <w:rsid w:val="001A38CA"/>
    <w:rsid w:val="001A4549"/>
    <w:rsid w:val="001A5578"/>
    <w:rsid w:val="001A55D1"/>
    <w:rsid w:val="001A5785"/>
    <w:rsid w:val="001A5ABA"/>
    <w:rsid w:val="001A5B56"/>
    <w:rsid w:val="001A628E"/>
    <w:rsid w:val="001A6311"/>
    <w:rsid w:val="001A671A"/>
    <w:rsid w:val="001A6A7D"/>
    <w:rsid w:val="001A712E"/>
    <w:rsid w:val="001A789C"/>
    <w:rsid w:val="001A7D2D"/>
    <w:rsid w:val="001B0352"/>
    <w:rsid w:val="001B27BC"/>
    <w:rsid w:val="001B3170"/>
    <w:rsid w:val="001B3182"/>
    <w:rsid w:val="001B4071"/>
    <w:rsid w:val="001B494E"/>
    <w:rsid w:val="001B50EC"/>
    <w:rsid w:val="001C0A8C"/>
    <w:rsid w:val="001C144D"/>
    <w:rsid w:val="001C1AAB"/>
    <w:rsid w:val="001C1F6D"/>
    <w:rsid w:val="001C220E"/>
    <w:rsid w:val="001C3AD0"/>
    <w:rsid w:val="001C4A7C"/>
    <w:rsid w:val="001C65B8"/>
    <w:rsid w:val="001C67B5"/>
    <w:rsid w:val="001C6908"/>
    <w:rsid w:val="001C72D1"/>
    <w:rsid w:val="001D02F9"/>
    <w:rsid w:val="001D0708"/>
    <w:rsid w:val="001D073A"/>
    <w:rsid w:val="001D2B48"/>
    <w:rsid w:val="001D3CB2"/>
    <w:rsid w:val="001D4CAC"/>
    <w:rsid w:val="001D59E0"/>
    <w:rsid w:val="001D5B5A"/>
    <w:rsid w:val="001D5D17"/>
    <w:rsid w:val="001D6BBE"/>
    <w:rsid w:val="001D75C5"/>
    <w:rsid w:val="001E1E4C"/>
    <w:rsid w:val="001E2905"/>
    <w:rsid w:val="001E3C4A"/>
    <w:rsid w:val="001E454F"/>
    <w:rsid w:val="001E4C2F"/>
    <w:rsid w:val="001E56D2"/>
    <w:rsid w:val="001F1BC8"/>
    <w:rsid w:val="001F27F4"/>
    <w:rsid w:val="001F4ECE"/>
    <w:rsid w:val="001F5587"/>
    <w:rsid w:val="001F5A9E"/>
    <w:rsid w:val="001F69FF"/>
    <w:rsid w:val="001F6A2C"/>
    <w:rsid w:val="001F6C91"/>
    <w:rsid w:val="001F6E25"/>
    <w:rsid w:val="00200656"/>
    <w:rsid w:val="00201D1C"/>
    <w:rsid w:val="0020237E"/>
    <w:rsid w:val="00202681"/>
    <w:rsid w:val="00203BAC"/>
    <w:rsid w:val="002047AF"/>
    <w:rsid w:val="002049FE"/>
    <w:rsid w:val="00204E0F"/>
    <w:rsid w:val="00207359"/>
    <w:rsid w:val="00207939"/>
    <w:rsid w:val="00207DCC"/>
    <w:rsid w:val="00210F13"/>
    <w:rsid w:val="002118FE"/>
    <w:rsid w:val="00212C7E"/>
    <w:rsid w:val="002152F8"/>
    <w:rsid w:val="0021623B"/>
    <w:rsid w:val="00216D93"/>
    <w:rsid w:val="002173F0"/>
    <w:rsid w:val="00217468"/>
    <w:rsid w:val="00220131"/>
    <w:rsid w:val="0022053C"/>
    <w:rsid w:val="0022146C"/>
    <w:rsid w:val="0022197F"/>
    <w:rsid w:val="00221B91"/>
    <w:rsid w:val="00221E4C"/>
    <w:rsid w:val="00222165"/>
    <w:rsid w:val="002234E8"/>
    <w:rsid w:val="0022403B"/>
    <w:rsid w:val="002244E1"/>
    <w:rsid w:val="00224B3C"/>
    <w:rsid w:val="002251D6"/>
    <w:rsid w:val="00225697"/>
    <w:rsid w:val="00225BDC"/>
    <w:rsid w:val="00225C2A"/>
    <w:rsid w:val="00225E83"/>
    <w:rsid w:val="0022711F"/>
    <w:rsid w:val="002272CF"/>
    <w:rsid w:val="00231CF9"/>
    <w:rsid w:val="00232DFF"/>
    <w:rsid w:val="0023328A"/>
    <w:rsid w:val="00233C34"/>
    <w:rsid w:val="00233C5B"/>
    <w:rsid w:val="00234DD7"/>
    <w:rsid w:val="002362F5"/>
    <w:rsid w:val="00236678"/>
    <w:rsid w:val="002368FC"/>
    <w:rsid w:val="00240032"/>
    <w:rsid w:val="00240242"/>
    <w:rsid w:val="002403AB"/>
    <w:rsid w:val="002404B2"/>
    <w:rsid w:val="0024052F"/>
    <w:rsid w:val="0024053B"/>
    <w:rsid w:val="00240A4E"/>
    <w:rsid w:val="00241670"/>
    <w:rsid w:val="00242BF9"/>
    <w:rsid w:val="00242D5D"/>
    <w:rsid w:val="002449AE"/>
    <w:rsid w:val="00246129"/>
    <w:rsid w:val="002461B9"/>
    <w:rsid w:val="00246475"/>
    <w:rsid w:val="002467EB"/>
    <w:rsid w:val="00246B95"/>
    <w:rsid w:val="00246C99"/>
    <w:rsid w:val="002503DF"/>
    <w:rsid w:val="00250429"/>
    <w:rsid w:val="0025092C"/>
    <w:rsid w:val="00250BA4"/>
    <w:rsid w:val="002511EB"/>
    <w:rsid w:val="00251FB9"/>
    <w:rsid w:val="0025221B"/>
    <w:rsid w:val="0025348C"/>
    <w:rsid w:val="00253E85"/>
    <w:rsid w:val="002541FD"/>
    <w:rsid w:val="00254388"/>
    <w:rsid w:val="0025547A"/>
    <w:rsid w:val="00256DBD"/>
    <w:rsid w:val="002577B6"/>
    <w:rsid w:val="00257B9F"/>
    <w:rsid w:val="00260537"/>
    <w:rsid w:val="00260A21"/>
    <w:rsid w:val="00260F02"/>
    <w:rsid w:val="00262EEB"/>
    <w:rsid w:val="002636FE"/>
    <w:rsid w:val="002637D7"/>
    <w:rsid w:val="002640BB"/>
    <w:rsid w:val="0026498A"/>
    <w:rsid w:val="002650D5"/>
    <w:rsid w:val="002656D7"/>
    <w:rsid w:val="00265F80"/>
    <w:rsid w:val="002668E9"/>
    <w:rsid w:val="00267F70"/>
    <w:rsid w:val="00270D22"/>
    <w:rsid w:val="00273BF1"/>
    <w:rsid w:val="002740FF"/>
    <w:rsid w:val="00274ECB"/>
    <w:rsid w:val="00275D18"/>
    <w:rsid w:val="00282A39"/>
    <w:rsid w:val="00282A51"/>
    <w:rsid w:val="002840FE"/>
    <w:rsid w:val="0028529B"/>
    <w:rsid w:val="00285A9B"/>
    <w:rsid w:val="002871BF"/>
    <w:rsid w:val="002873AA"/>
    <w:rsid w:val="0029070C"/>
    <w:rsid w:val="002907C2"/>
    <w:rsid w:val="00291B11"/>
    <w:rsid w:val="00291C05"/>
    <w:rsid w:val="00294D16"/>
    <w:rsid w:val="00295B37"/>
    <w:rsid w:val="002A0524"/>
    <w:rsid w:val="002A3471"/>
    <w:rsid w:val="002A34E1"/>
    <w:rsid w:val="002A359C"/>
    <w:rsid w:val="002A3967"/>
    <w:rsid w:val="002A4560"/>
    <w:rsid w:val="002A755B"/>
    <w:rsid w:val="002A75BC"/>
    <w:rsid w:val="002A7750"/>
    <w:rsid w:val="002B091D"/>
    <w:rsid w:val="002B0B05"/>
    <w:rsid w:val="002B147E"/>
    <w:rsid w:val="002B1DAA"/>
    <w:rsid w:val="002B1F98"/>
    <w:rsid w:val="002B39AB"/>
    <w:rsid w:val="002B4C1A"/>
    <w:rsid w:val="002B54BB"/>
    <w:rsid w:val="002B5DE9"/>
    <w:rsid w:val="002B74E4"/>
    <w:rsid w:val="002B7BD5"/>
    <w:rsid w:val="002B7F5C"/>
    <w:rsid w:val="002C1B9C"/>
    <w:rsid w:val="002C2698"/>
    <w:rsid w:val="002C3224"/>
    <w:rsid w:val="002C3425"/>
    <w:rsid w:val="002C4721"/>
    <w:rsid w:val="002C6378"/>
    <w:rsid w:val="002C6780"/>
    <w:rsid w:val="002C6F18"/>
    <w:rsid w:val="002C6F6D"/>
    <w:rsid w:val="002C71BE"/>
    <w:rsid w:val="002C7374"/>
    <w:rsid w:val="002C78A6"/>
    <w:rsid w:val="002D0932"/>
    <w:rsid w:val="002D1372"/>
    <w:rsid w:val="002D16C6"/>
    <w:rsid w:val="002D1AA2"/>
    <w:rsid w:val="002D2E66"/>
    <w:rsid w:val="002D46A6"/>
    <w:rsid w:val="002D66AA"/>
    <w:rsid w:val="002D74A5"/>
    <w:rsid w:val="002D789C"/>
    <w:rsid w:val="002E04E9"/>
    <w:rsid w:val="002E09E4"/>
    <w:rsid w:val="002E13E3"/>
    <w:rsid w:val="002E155C"/>
    <w:rsid w:val="002E16DF"/>
    <w:rsid w:val="002E3C56"/>
    <w:rsid w:val="002E6480"/>
    <w:rsid w:val="002F09D1"/>
    <w:rsid w:val="002F44FA"/>
    <w:rsid w:val="002F7AE3"/>
    <w:rsid w:val="0030052F"/>
    <w:rsid w:val="00300742"/>
    <w:rsid w:val="0030074E"/>
    <w:rsid w:val="00302C2C"/>
    <w:rsid w:val="00303197"/>
    <w:rsid w:val="00303EEA"/>
    <w:rsid w:val="00305462"/>
    <w:rsid w:val="00306481"/>
    <w:rsid w:val="0031107F"/>
    <w:rsid w:val="00311B10"/>
    <w:rsid w:val="003122ED"/>
    <w:rsid w:val="0031274D"/>
    <w:rsid w:val="00314315"/>
    <w:rsid w:val="00317967"/>
    <w:rsid w:val="003179D8"/>
    <w:rsid w:val="00317EA3"/>
    <w:rsid w:val="003209B5"/>
    <w:rsid w:val="003211F0"/>
    <w:rsid w:val="00321783"/>
    <w:rsid w:val="003218FD"/>
    <w:rsid w:val="00322A67"/>
    <w:rsid w:val="00322FCA"/>
    <w:rsid w:val="00323BC1"/>
    <w:rsid w:val="00324165"/>
    <w:rsid w:val="0032541F"/>
    <w:rsid w:val="00325439"/>
    <w:rsid w:val="003275CC"/>
    <w:rsid w:val="00327652"/>
    <w:rsid w:val="00327B63"/>
    <w:rsid w:val="003304F4"/>
    <w:rsid w:val="00330EB1"/>
    <w:rsid w:val="003312A4"/>
    <w:rsid w:val="00332AF3"/>
    <w:rsid w:val="003332F1"/>
    <w:rsid w:val="0033353C"/>
    <w:rsid w:val="00333C5E"/>
    <w:rsid w:val="0033422A"/>
    <w:rsid w:val="00334349"/>
    <w:rsid w:val="00337627"/>
    <w:rsid w:val="00340DF1"/>
    <w:rsid w:val="00341477"/>
    <w:rsid w:val="00342911"/>
    <w:rsid w:val="003433AF"/>
    <w:rsid w:val="00343AC2"/>
    <w:rsid w:val="00343C1C"/>
    <w:rsid w:val="003463DE"/>
    <w:rsid w:val="003465B5"/>
    <w:rsid w:val="00346BE8"/>
    <w:rsid w:val="00346F22"/>
    <w:rsid w:val="003479C5"/>
    <w:rsid w:val="00350F6D"/>
    <w:rsid w:val="00351BC8"/>
    <w:rsid w:val="00352148"/>
    <w:rsid w:val="00353B7F"/>
    <w:rsid w:val="00353F73"/>
    <w:rsid w:val="00354791"/>
    <w:rsid w:val="003550D0"/>
    <w:rsid w:val="003561A0"/>
    <w:rsid w:val="00356F96"/>
    <w:rsid w:val="00357096"/>
    <w:rsid w:val="00357C36"/>
    <w:rsid w:val="003622EC"/>
    <w:rsid w:val="00364040"/>
    <w:rsid w:val="003668A8"/>
    <w:rsid w:val="00367973"/>
    <w:rsid w:val="0037053A"/>
    <w:rsid w:val="0037064D"/>
    <w:rsid w:val="00371B2B"/>
    <w:rsid w:val="0037323C"/>
    <w:rsid w:val="003738E7"/>
    <w:rsid w:val="003751C4"/>
    <w:rsid w:val="0037540C"/>
    <w:rsid w:val="00375B4E"/>
    <w:rsid w:val="003760A1"/>
    <w:rsid w:val="003767FC"/>
    <w:rsid w:val="00376C63"/>
    <w:rsid w:val="00377009"/>
    <w:rsid w:val="003774DF"/>
    <w:rsid w:val="00377B30"/>
    <w:rsid w:val="00380149"/>
    <w:rsid w:val="0038069C"/>
    <w:rsid w:val="003807B7"/>
    <w:rsid w:val="00380B8E"/>
    <w:rsid w:val="00381F4B"/>
    <w:rsid w:val="00382C55"/>
    <w:rsid w:val="00383A1B"/>
    <w:rsid w:val="003856BE"/>
    <w:rsid w:val="00387CB0"/>
    <w:rsid w:val="00391596"/>
    <w:rsid w:val="00391778"/>
    <w:rsid w:val="003918FE"/>
    <w:rsid w:val="003927A1"/>
    <w:rsid w:val="003927CE"/>
    <w:rsid w:val="00393830"/>
    <w:rsid w:val="0039656C"/>
    <w:rsid w:val="00396AAA"/>
    <w:rsid w:val="0039776A"/>
    <w:rsid w:val="00397D2B"/>
    <w:rsid w:val="003A1400"/>
    <w:rsid w:val="003A2A06"/>
    <w:rsid w:val="003A2AD9"/>
    <w:rsid w:val="003A6240"/>
    <w:rsid w:val="003A675A"/>
    <w:rsid w:val="003B152A"/>
    <w:rsid w:val="003B16B1"/>
    <w:rsid w:val="003B212A"/>
    <w:rsid w:val="003B33E5"/>
    <w:rsid w:val="003B4470"/>
    <w:rsid w:val="003B4B05"/>
    <w:rsid w:val="003B5059"/>
    <w:rsid w:val="003B5499"/>
    <w:rsid w:val="003B55B5"/>
    <w:rsid w:val="003B58A1"/>
    <w:rsid w:val="003B66A3"/>
    <w:rsid w:val="003C01C1"/>
    <w:rsid w:val="003C0D49"/>
    <w:rsid w:val="003C1EBB"/>
    <w:rsid w:val="003C2B27"/>
    <w:rsid w:val="003C2C8D"/>
    <w:rsid w:val="003C3EE8"/>
    <w:rsid w:val="003C5C24"/>
    <w:rsid w:val="003C698F"/>
    <w:rsid w:val="003C6BC8"/>
    <w:rsid w:val="003C76F0"/>
    <w:rsid w:val="003D1205"/>
    <w:rsid w:val="003D1C55"/>
    <w:rsid w:val="003D1ED0"/>
    <w:rsid w:val="003D318C"/>
    <w:rsid w:val="003D5862"/>
    <w:rsid w:val="003E0097"/>
    <w:rsid w:val="003E014F"/>
    <w:rsid w:val="003E1D8D"/>
    <w:rsid w:val="003E23F2"/>
    <w:rsid w:val="003E37C6"/>
    <w:rsid w:val="003E52E6"/>
    <w:rsid w:val="003E5991"/>
    <w:rsid w:val="003E6133"/>
    <w:rsid w:val="003E6C15"/>
    <w:rsid w:val="003F1B51"/>
    <w:rsid w:val="003F2DC9"/>
    <w:rsid w:val="003F323B"/>
    <w:rsid w:val="003F4C27"/>
    <w:rsid w:val="003F5DD4"/>
    <w:rsid w:val="003F6DA6"/>
    <w:rsid w:val="004007B9"/>
    <w:rsid w:val="0040155B"/>
    <w:rsid w:val="004015FD"/>
    <w:rsid w:val="00401D05"/>
    <w:rsid w:val="00404070"/>
    <w:rsid w:val="00404114"/>
    <w:rsid w:val="004041FC"/>
    <w:rsid w:val="00404446"/>
    <w:rsid w:val="00406880"/>
    <w:rsid w:val="004075FC"/>
    <w:rsid w:val="00411F56"/>
    <w:rsid w:val="00412799"/>
    <w:rsid w:val="00412AC6"/>
    <w:rsid w:val="00412C0B"/>
    <w:rsid w:val="004133E0"/>
    <w:rsid w:val="00413DD3"/>
    <w:rsid w:val="00414EBC"/>
    <w:rsid w:val="00415E7A"/>
    <w:rsid w:val="004164D3"/>
    <w:rsid w:val="004167AD"/>
    <w:rsid w:val="00417A93"/>
    <w:rsid w:val="0042068D"/>
    <w:rsid w:val="00420895"/>
    <w:rsid w:val="00420BCF"/>
    <w:rsid w:val="00421A41"/>
    <w:rsid w:val="00422FFA"/>
    <w:rsid w:val="0042325B"/>
    <w:rsid w:val="00423C4C"/>
    <w:rsid w:val="0042441E"/>
    <w:rsid w:val="004250D3"/>
    <w:rsid w:val="0042547A"/>
    <w:rsid w:val="004277FC"/>
    <w:rsid w:val="0042783E"/>
    <w:rsid w:val="00427944"/>
    <w:rsid w:val="00427A2E"/>
    <w:rsid w:val="0043059B"/>
    <w:rsid w:val="004308D9"/>
    <w:rsid w:val="004328EB"/>
    <w:rsid w:val="00432D16"/>
    <w:rsid w:val="00433EA8"/>
    <w:rsid w:val="004355B4"/>
    <w:rsid w:val="0043602E"/>
    <w:rsid w:val="00440E8F"/>
    <w:rsid w:val="00441007"/>
    <w:rsid w:val="0044233C"/>
    <w:rsid w:val="00442DE6"/>
    <w:rsid w:val="00442FFA"/>
    <w:rsid w:val="00444088"/>
    <w:rsid w:val="00444091"/>
    <w:rsid w:val="00444C69"/>
    <w:rsid w:val="00444E44"/>
    <w:rsid w:val="00444F04"/>
    <w:rsid w:val="004468F8"/>
    <w:rsid w:val="00450D3E"/>
    <w:rsid w:val="004510A9"/>
    <w:rsid w:val="00451BEB"/>
    <w:rsid w:val="0045253D"/>
    <w:rsid w:val="00452791"/>
    <w:rsid w:val="00453725"/>
    <w:rsid w:val="00453CDA"/>
    <w:rsid w:val="00453EED"/>
    <w:rsid w:val="004548C9"/>
    <w:rsid w:val="00454DD2"/>
    <w:rsid w:val="00455111"/>
    <w:rsid w:val="00455681"/>
    <w:rsid w:val="004557C2"/>
    <w:rsid w:val="00455C66"/>
    <w:rsid w:val="00455ED6"/>
    <w:rsid w:val="004561FC"/>
    <w:rsid w:val="00456AF5"/>
    <w:rsid w:val="00457032"/>
    <w:rsid w:val="004578D9"/>
    <w:rsid w:val="00457BAD"/>
    <w:rsid w:val="00457CF0"/>
    <w:rsid w:val="00457DBE"/>
    <w:rsid w:val="00460072"/>
    <w:rsid w:val="004634B8"/>
    <w:rsid w:val="00465E7E"/>
    <w:rsid w:val="00471A70"/>
    <w:rsid w:val="00471DC6"/>
    <w:rsid w:val="004740B5"/>
    <w:rsid w:val="00474491"/>
    <w:rsid w:val="004746B3"/>
    <w:rsid w:val="004748F7"/>
    <w:rsid w:val="00475077"/>
    <w:rsid w:val="0047719A"/>
    <w:rsid w:val="00481CB3"/>
    <w:rsid w:val="00482747"/>
    <w:rsid w:val="00482FC1"/>
    <w:rsid w:val="004834E9"/>
    <w:rsid w:val="0048580E"/>
    <w:rsid w:val="0048590C"/>
    <w:rsid w:val="00486591"/>
    <w:rsid w:val="00487A65"/>
    <w:rsid w:val="0049043B"/>
    <w:rsid w:val="00491EB0"/>
    <w:rsid w:val="004929BB"/>
    <w:rsid w:val="00492DC9"/>
    <w:rsid w:val="0049389B"/>
    <w:rsid w:val="004942E7"/>
    <w:rsid w:val="00494E31"/>
    <w:rsid w:val="0049566F"/>
    <w:rsid w:val="00495AA8"/>
    <w:rsid w:val="00496B3C"/>
    <w:rsid w:val="00496F84"/>
    <w:rsid w:val="004A0230"/>
    <w:rsid w:val="004A023B"/>
    <w:rsid w:val="004A1BC0"/>
    <w:rsid w:val="004A341C"/>
    <w:rsid w:val="004A43E3"/>
    <w:rsid w:val="004A5CD9"/>
    <w:rsid w:val="004A66FC"/>
    <w:rsid w:val="004A6AA2"/>
    <w:rsid w:val="004A7E3A"/>
    <w:rsid w:val="004B0B76"/>
    <w:rsid w:val="004B16F9"/>
    <w:rsid w:val="004B1D86"/>
    <w:rsid w:val="004B2A25"/>
    <w:rsid w:val="004B2D3E"/>
    <w:rsid w:val="004B45D3"/>
    <w:rsid w:val="004B4A5F"/>
    <w:rsid w:val="004B5A74"/>
    <w:rsid w:val="004B6326"/>
    <w:rsid w:val="004B6F19"/>
    <w:rsid w:val="004B7E52"/>
    <w:rsid w:val="004C0C19"/>
    <w:rsid w:val="004C18B1"/>
    <w:rsid w:val="004C1EAB"/>
    <w:rsid w:val="004C5021"/>
    <w:rsid w:val="004C562E"/>
    <w:rsid w:val="004C69DE"/>
    <w:rsid w:val="004C6CF1"/>
    <w:rsid w:val="004C70D8"/>
    <w:rsid w:val="004D03BF"/>
    <w:rsid w:val="004D27C5"/>
    <w:rsid w:val="004D35AB"/>
    <w:rsid w:val="004D3DC9"/>
    <w:rsid w:val="004D403E"/>
    <w:rsid w:val="004D5A5D"/>
    <w:rsid w:val="004D5F54"/>
    <w:rsid w:val="004E0848"/>
    <w:rsid w:val="004E5ACC"/>
    <w:rsid w:val="004E6618"/>
    <w:rsid w:val="004E6F81"/>
    <w:rsid w:val="004E7733"/>
    <w:rsid w:val="004E78D4"/>
    <w:rsid w:val="004E7FCF"/>
    <w:rsid w:val="004F08CD"/>
    <w:rsid w:val="004F2593"/>
    <w:rsid w:val="004F36BD"/>
    <w:rsid w:val="004F394A"/>
    <w:rsid w:val="004F497F"/>
    <w:rsid w:val="00501B11"/>
    <w:rsid w:val="005034C4"/>
    <w:rsid w:val="00505C84"/>
    <w:rsid w:val="00506DC9"/>
    <w:rsid w:val="00506E05"/>
    <w:rsid w:val="00506FF0"/>
    <w:rsid w:val="005075B9"/>
    <w:rsid w:val="005119C4"/>
    <w:rsid w:val="00513736"/>
    <w:rsid w:val="005142BE"/>
    <w:rsid w:val="005160BD"/>
    <w:rsid w:val="00517E66"/>
    <w:rsid w:val="00517EB1"/>
    <w:rsid w:val="0052132C"/>
    <w:rsid w:val="005213DC"/>
    <w:rsid w:val="005232C5"/>
    <w:rsid w:val="00524242"/>
    <w:rsid w:val="0052458E"/>
    <w:rsid w:val="0053058E"/>
    <w:rsid w:val="0053069A"/>
    <w:rsid w:val="00531519"/>
    <w:rsid w:val="00531C07"/>
    <w:rsid w:val="00531CF2"/>
    <w:rsid w:val="005346B2"/>
    <w:rsid w:val="00535902"/>
    <w:rsid w:val="00535CF0"/>
    <w:rsid w:val="00535DEC"/>
    <w:rsid w:val="00535E2B"/>
    <w:rsid w:val="005418B9"/>
    <w:rsid w:val="0054264C"/>
    <w:rsid w:val="00542DDC"/>
    <w:rsid w:val="00543AF5"/>
    <w:rsid w:val="00544A12"/>
    <w:rsid w:val="00547715"/>
    <w:rsid w:val="00550205"/>
    <w:rsid w:val="00552232"/>
    <w:rsid w:val="00552416"/>
    <w:rsid w:val="00552A02"/>
    <w:rsid w:val="00553F2B"/>
    <w:rsid w:val="005570F8"/>
    <w:rsid w:val="00560FAD"/>
    <w:rsid w:val="00561B0F"/>
    <w:rsid w:val="00563CB6"/>
    <w:rsid w:val="00563E2B"/>
    <w:rsid w:val="005648CF"/>
    <w:rsid w:val="00567BCD"/>
    <w:rsid w:val="00567C22"/>
    <w:rsid w:val="005700A9"/>
    <w:rsid w:val="005701F2"/>
    <w:rsid w:val="005738CA"/>
    <w:rsid w:val="00576FE5"/>
    <w:rsid w:val="0058360B"/>
    <w:rsid w:val="0058544F"/>
    <w:rsid w:val="00585E77"/>
    <w:rsid w:val="00586509"/>
    <w:rsid w:val="00586BE7"/>
    <w:rsid w:val="00587053"/>
    <w:rsid w:val="00587214"/>
    <w:rsid w:val="00587281"/>
    <w:rsid w:val="00590AA1"/>
    <w:rsid w:val="00590E97"/>
    <w:rsid w:val="005911D3"/>
    <w:rsid w:val="00591B88"/>
    <w:rsid w:val="00592687"/>
    <w:rsid w:val="00594651"/>
    <w:rsid w:val="00596075"/>
    <w:rsid w:val="005974CD"/>
    <w:rsid w:val="005977B3"/>
    <w:rsid w:val="00597C75"/>
    <w:rsid w:val="005A0189"/>
    <w:rsid w:val="005A1D20"/>
    <w:rsid w:val="005A2F3F"/>
    <w:rsid w:val="005A48A5"/>
    <w:rsid w:val="005A67CF"/>
    <w:rsid w:val="005A766B"/>
    <w:rsid w:val="005B08F8"/>
    <w:rsid w:val="005B17CA"/>
    <w:rsid w:val="005B1896"/>
    <w:rsid w:val="005B1D06"/>
    <w:rsid w:val="005B1F53"/>
    <w:rsid w:val="005B27C7"/>
    <w:rsid w:val="005B38B4"/>
    <w:rsid w:val="005B4869"/>
    <w:rsid w:val="005B4F0F"/>
    <w:rsid w:val="005B7DE9"/>
    <w:rsid w:val="005B7F60"/>
    <w:rsid w:val="005C184D"/>
    <w:rsid w:val="005C2810"/>
    <w:rsid w:val="005C2D22"/>
    <w:rsid w:val="005C3E4A"/>
    <w:rsid w:val="005C45A2"/>
    <w:rsid w:val="005C4B0F"/>
    <w:rsid w:val="005C75CD"/>
    <w:rsid w:val="005C788A"/>
    <w:rsid w:val="005D0347"/>
    <w:rsid w:val="005D0CCC"/>
    <w:rsid w:val="005D0D2C"/>
    <w:rsid w:val="005D12A5"/>
    <w:rsid w:val="005D12CD"/>
    <w:rsid w:val="005D22CD"/>
    <w:rsid w:val="005D2C8D"/>
    <w:rsid w:val="005D35FE"/>
    <w:rsid w:val="005D372F"/>
    <w:rsid w:val="005D4957"/>
    <w:rsid w:val="005D4BAF"/>
    <w:rsid w:val="005D5402"/>
    <w:rsid w:val="005D6E4D"/>
    <w:rsid w:val="005D7A6B"/>
    <w:rsid w:val="005E082E"/>
    <w:rsid w:val="005E0B5E"/>
    <w:rsid w:val="005E0BC8"/>
    <w:rsid w:val="005E28A3"/>
    <w:rsid w:val="005E3217"/>
    <w:rsid w:val="005E3737"/>
    <w:rsid w:val="005E3E81"/>
    <w:rsid w:val="005E48C9"/>
    <w:rsid w:val="005E547D"/>
    <w:rsid w:val="005F14DF"/>
    <w:rsid w:val="005F1705"/>
    <w:rsid w:val="005F2502"/>
    <w:rsid w:val="005F2F4F"/>
    <w:rsid w:val="005F4688"/>
    <w:rsid w:val="005F6AA4"/>
    <w:rsid w:val="005F72BA"/>
    <w:rsid w:val="005F7342"/>
    <w:rsid w:val="005F760D"/>
    <w:rsid w:val="00600E6F"/>
    <w:rsid w:val="00603DAA"/>
    <w:rsid w:val="0060489B"/>
    <w:rsid w:val="00605E2C"/>
    <w:rsid w:val="006073B2"/>
    <w:rsid w:val="0060768D"/>
    <w:rsid w:val="00607FC4"/>
    <w:rsid w:val="00610515"/>
    <w:rsid w:val="006119C5"/>
    <w:rsid w:val="00611E95"/>
    <w:rsid w:val="006142C0"/>
    <w:rsid w:val="006166BF"/>
    <w:rsid w:val="006168A6"/>
    <w:rsid w:val="00616D5B"/>
    <w:rsid w:val="00617CDF"/>
    <w:rsid w:val="0062007A"/>
    <w:rsid w:val="006209B4"/>
    <w:rsid w:val="00620F05"/>
    <w:rsid w:val="0062109F"/>
    <w:rsid w:val="00621BEB"/>
    <w:rsid w:val="00621C63"/>
    <w:rsid w:val="006223D1"/>
    <w:rsid w:val="006232E6"/>
    <w:rsid w:val="006232EF"/>
    <w:rsid w:val="0062599C"/>
    <w:rsid w:val="006261CE"/>
    <w:rsid w:val="0062625B"/>
    <w:rsid w:val="0062761B"/>
    <w:rsid w:val="006278F6"/>
    <w:rsid w:val="00630D67"/>
    <w:rsid w:val="00631D9F"/>
    <w:rsid w:val="00631F91"/>
    <w:rsid w:val="00631F9E"/>
    <w:rsid w:val="00632D65"/>
    <w:rsid w:val="00633349"/>
    <w:rsid w:val="006340C1"/>
    <w:rsid w:val="00634348"/>
    <w:rsid w:val="00635DE4"/>
    <w:rsid w:val="00636FC3"/>
    <w:rsid w:val="006422D0"/>
    <w:rsid w:val="00642C7D"/>
    <w:rsid w:val="00644C1B"/>
    <w:rsid w:val="00645635"/>
    <w:rsid w:val="00645AFD"/>
    <w:rsid w:val="00650458"/>
    <w:rsid w:val="0065087C"/>
    <w:rsid w:val="006515CA"/>
    <w:rsid w:val="00651A7B"/>
    <w:rsid w:val="00651D0C"/>
    <w:rsid w:val="00652EFB"/>
    <w:rsid w:val="006546FC"/>
    <w:rsid w:val="00654F9E"/>
    <w:rsid w:val="00656629"/>
    <w:rsid w:val="0065679F"/>
    <w:rsid w:val="006567C3"/>
    <w:rsid w:val="006569D6"/>
    <w:rsid w:val="006571D2"/>
    <w:rsid w:val="0066055D"/>
    <w:rsid w:val="006611F2"/>
    <w:rsid w:val="0066201C"/>
    <w:rsid w:val="00663351"/>
    <w:rsid w:val="00663408"/>
    <w:rsid w:val="00664C30"/>
    <w:rsid w:val="006663A1"/>
    <w:rsid w:val="00666BFA"/>
    <w:rsid w:val="00667067"/>
    <w:rsid w:val="00667BE4"/>
    <w:rsid w:val="006703AC"/>
    <w:rsid w:val="0067045C"/>
    <w:rsid w:val="00671B48"/>
    <w:rsid w:val="00671E0F"/>
    <w:rsid w:val="00675B51"/>
    <w:rsid w:val="006760F2"/>
    <w:rsid w:val="00676147"/>
    <w:rsid w:val="00676634"/>
    <w:rsid w:val="0067759D"/>
    <w:rsid w:val="00681152"/>
    <w:rsid w:val="00683DB3"/>
    <w:rsid w:val="00684417"/>
    <w:rsid w:val="0068499E"/>
    <w:rsid w:val="00684B17"/>
    <w:rsid w:val="00684BCE"/>
    <w:rsid w:val="00685F0F"/>
    <w:rsid w:val="00686034"/>
    <w:rsid w:val="00686D7E"/>
    <w:rsid w:val="00687C1C"/>
    <w:rsid w:val="00690A20"/>
    <w:rsid w:val="00691022"/>
    <w:rsid w:val="00692BC7"/>
    <w:rsid w:val="0069539B"/>
    <w:rsid w:val="006A0B77"/>
    <w:rsid w:val="006A3A54"/>
    <w:rsid w:val="006A43B2"/>
    <w:rsid w:val="006A4975"/>
    <w:rsid w:val="006A5F63"/>
    <w:rsid w:val="006A6180"/>
    <w:rsid w:val="006A6C88"/>
    <w:rsid w:val="006A7843"/>
    <w:rsid w:val="006A7F14"/>
    <w:rsid w:val="006B0CEC"/>
    <w:rsid w:val="006B0DCD"/>
    <w:rsid w:val="006B1C07"/>
    <w:rsid w:val="006B27D3"/>
    <w:rsid w:val="006B2AFC"/>
    <w:rsid w:val="006B359A"/>
    <w:rsid w:val="006B3DC0"/>
    <w:rsid w:val="006B712D"/>
    <w:rsid w:val="006B78BD"/>
    <w:rsid w:val="006C0D1B"/>
    <w:rsid w:val="006C1AAF"/>
    <w:rsid w:val="006C28F4"/>
    <w:rsid w:val="006C3FF0"/>
    <w:rsid w:val="006C6542"/>
    <w:rsid w:val="006C6942"/>
    <w:rsid w:val="006C7CBF"/>
    <w:rsid w:val="006C7ECB"/>
    <w:rsid w:val="006D04FE"/>
    <w:rsid w:val="006D12D9"/>
    <w:rsid w:val="006D35D1"/>
    <w:rsid w:val="006D38C1"/>
    <w:rsid w:val="006D3B85"/>
    <w:rsid w:val="006D3EFB"/>
    <w:rsid w:val="006D4435"/>
    <w:rsid w:val="006D56BA"/>
    <w:rsid w:val="006D6130"/>
    <w:rsid w:val="006D7628"/>
    <w:rsid w:val="006D799E"/>
    <w:rsid w:val="006E01A3"/>
    <w:rsid w:val="006E0253"/>
    <w:rsid w:val="006E29B6"/>
    <w:rsid w:val="006E2B3A"/>
    <w:rsid w:val="006E2CD9"/>
    <w:rsid w:val="006E311E"/>
    <w:rsid w:val="006E365C"/>
    <w:rsid w:val="006E37D8"/>
    <w:rsid w:val="006E3C57"/>
    <w:rsid w:val="006E47E6"/>
    <w:rsid w:val="006E5A23"/>
    <w:rsid w:val="006E787D"/>
    <w:rsid w:val="006E7F71"/>
    <w:rsid w:val="006F1C3A"/>
    <w:rsid w:val="006F2024"/>
    <w:rsid w:val="006F2040"/>
    <w:rsid w:val="006F549D"/>
    <w:rsid w:val="006F7098"/>
    <w:rsid w:val="006F73AE"/>
    <w:rsid w:val="006F759F"/>
    <w:rsid w:val="00700C11"/>
    <w:rsid w:val="00700C84"/>
    <w:rsid w:val="00701E35"/>
    <w:rsid w:val="007025E6"/>
    <w:rsid w:val="00704198"/>
    <w:rsid w:val="007043B0"/>
    <w:rsid w:val="00705A9B"/>
    <w:rsid w:val="007069F6"/>
    <w:rsid w:val="00706B8C"/>
    <w:rsid w:val="00706ED7"/>
    <w:rsid w:val="00710750"/>
    <w:rsid w:val="007108A4"/>
    <w:rsid w:val="007117EE"/>
    <w:rsid w:val="00714E03"/>
    <w:rsid w:val="00715547"/>
    <w:rsid w:val="007162E0"/>
    <w:rsid w:val="00717AE5"/>
    <w:rsid w:val="00721290"/>
    <w:rsid w:val="00721C39"/>
    <w:rsid w:val="007222D5"/>
    <w:rsid w:val="00722722"/>
    <w:rsid w:val="0072360F"/>
    <w:rsid w:val="00724552"/>
    <w:rsid w:val="007246FE"/>
    <w:rsid w:val="00725ED3"/>
    <w:rsid w:val="00730D9A"/>
    <w:rsid w:val="00731373"/>
    <w:rsid w:val="00734954"/>
    <w:rsid w:val="00734C7D"/>
    <w:rsid w:val="00736B54"/>
    <w:rsid w:val="00737D5B"/>
    <w:rsid w:val="00737F5D"/>
    <w:rsid w:val="007406D5"/>
    <w:rsid w:val="00740FE3"/>
    <w:rsid w:val="007418B2"/>
    <w:rsid w:val="00741B8F"/>
    <w:rsid w:val="00742164"/>
    <w:rsid w:val="00742B6C"/>
    <w:rsid w:val="0074305D"/>
    <w:rsid w:val="00745264"/>
    <w:rsid w:val="00745D95"/>
    <w:rsid w:val="00745E59"/>
    <w:rsid w:val="00746E0B"/>
    <w:rsid w:val="0074755A"/>
    <w:rsid w:val="0075024C"/>
    <w:rsid w:val="007508B5"/>
    <w:rsid w:val="0075141A"/>
    <w:rsid w:val="0075305F"/>
    <w:rsid w:val="00753599"/>
    <w:rsid w:val="0075369D"/>
    <w:rsid w:val="0075597C"/>
    <w:rsid w:val="00756CA4"/>
    <w:rsid w:val="00761EC7"/>
    <w:rsid w:val="00761F70"/>
    <w:rsid w:val="007620AD"/>
    <w:rsid w:val="00762ED7"/>
    <w:rsid w:val="0076367B"/>
    <w:rsid w:val="0076415C"/>
    <w:rsid w:val="007648A3"/>
    <w:rsid w:val="0076512D"/>
    <w:rsid w:val="0076639E"/>
    <w:rsid w:val="00767F4C"/>
    <w:rsid w:val="0077046E"/>
    <w:rsid w:val="00770942"/>
    <w:rsid w:val="00771576"/>
    <w:rsid w:val="007730F5"/>
    <w:rsid w:val="00774DE0"/>
    <w:rsid w:val="007775DA"/>
    <w:rsid w:val="00777C83"/>
    <w:rsid w:val="00777FF0"/>
    <w:rsid w:val="00782252"/>
    <w:rsid w:val="00782720"/>
    <w:rsid w:val="00783945"/>
    <w:rsid w:val="007842F8"/>
    <w:rsid w:val="00786275"/>
    <w:rsid w:val="0078632E"/>
    <w:rsid w:val="007911EC"/>
    <w:rsid w:val="00791E2E"/>
    <w:rsid w:val="00791FDB"/>
    <w:rsid w:val="00793196"/>
    <w:rsid w:val="007938FB"/>
    <w:rsid w:val="00794F5D"/>
    <w:rsid w:val="00795880"/>
    <w:rsid w:val="00795BD5"/>
    <w:rsid w:val="00795CE5"/>
    <w:rsid w:val="0079716D"/>
    <w:rsid w:val="007A0A58"/>
    <w:rsid w:val="007A1C3A"/>
    <w:rsid w:val="007A38A1"/>
    <w:rsid w:val="007A4443"/>
    <w:rsid w:val="007A53F0"/>
    <w:rsid w:val="007A567E"/>
    <w:rsid w:val="007A597F"/>
    <w:rsid w:val="007A7BBD"/>
    <w:rsid w:val="007B0842"/>
    <w:rsid w:val="007B19A6"/>
    <w:rsid w:val="007B2903"/>
    <w:rsid w:val="007B2BEF"/>
    <w:rsid w:val="007B3EED"/>
    <w:rsid w:val="007B4304"/>
    <w:rsid w:val="007B68AC"/>
    <w:rsid w:val="007B699E"/>
    <w:rsid w:val="007B7B4A"/>
    <w:rsid w:val="007B7D49"/>
    <w:rsid w:val="007C1EBD"/>
    <w:rsid w:val="007C2121"/>
    <w:rsid w:val="007C3A1E"/>
    <w:rsid w:val="007C4570"/>
    <w:rsid w:val="007C560B"/>
    <w:rsid w:val="007C6D63"/>
    <w:rsid w:val="007C6FAA"/>
    <w:rsid w:val="007C7E9B"/>
    <w:rsid w:val="007D15A3"/>
    <w:rsid w:val="007D20F3"/>
    <w:rsid w:val="007D401E"/>
    <w:rsid w:val="007D416B"/>
    <w:rsid w:val="007D4595"/>
    <w:rsid w:val="007D4B06"/>
    <w:rsid w:val="007D682E"/>
    <w:rsid w:val="007E0B5B"/>
    <w:rsid w:val="007E15B1"/>
    <w:rsid w:val="007E1B4F"/>
    <w:rsid w:val="007E2A8C"/>
    <w:rsid w:val="007E4AF1"/>
    <w:rsid w:val="007E57CE"/>
    <w:rsid w:val="007E58A1"/>
    <w:rsid w:val="007E66F6"/>
    <w:rsid w:val="007E7316"/>
    <w:rsid w:val="007F0788"/>
    <w:rsid w:val="007F0906"/>
    <w:rsid w:val="007F0FC5"/>
    <w:rsid w:val="007F1256"/>
    <w:rsid w:val="007F1F73"/>
    <w:rsid w:val="007F3F9C"/>
    <w:rsid w:val="007F4159"/>
    <w:rsid w:val="007F4390"/>
    <w:rsid w:val="007F5122"/>
    <w:rsid w:val="007F67F2"/>
    <w:rsid w:val="007F6870"/>
    <w:rsid w:val="00800769"/>
    <w:rsid w:val="0080270F"/>
    <w:rsid w:val="00802C14"/>
    <w:rsid w:val="00803A3A"/>
    <w:rsid w:val="00803FFA"/>
    <w:rsid w:val="0080575B"/>
    <w:rsid w:val="00806381"/>
    <w:rsid w:val="008067FB"/>
    <w:rsid w:val="0080738E"/>
    <w:rsid w:val="008100C1"/>
    <w:rsid w:val="00810121"/>
    <w:rsid w:val="0081035D"/>
    <w:rsid w:val="008112B4"/>
    <w:rsid w:val="0081185E"/>
    <w:rsid w:val="00811B86"/>
    <w:rsid w:val="00813492"/>
    <w:rsid w:val="00813B92"/>
    <w:rsid w:val="00814AA4"/>
    <w:rsid w:val="00814E45"/>
    <w:rsid w:val="008151CD"/>
    <w:rsid w:val="00815435"/>
    <w:rsid w:val="008156B4"/>
    <w:rsid w:val="0081642B"/>
    <w:rsid w:val="00817A4C"/>
    <w:rsid w:val="008208D6"/>
    <w:rsid w:val="00822901"/>
    <w:rsid w:val="00822A2E"/>
    <w:rsid w:val="008234BB"/>
    <w:rsid w:val="00823C49"/>
    <w:rsid w:val="0082431D"/>
    <w:rsid w:val="00825287"/>
    <w:rsid w:val="008255BB"/>
    <w:rsid w:val="00826B0F"/>
    <w:rsid w:val="00827766"/>
    <w:rsid w:val="00831041"/>
    <w:rsid w:val="00833B4D"/>
    <w:rsid w:val="0083501D"/>
    <w:rsid w:val="008350FC"/>
    <w:rsid w:val="008369B0"/>
    <w:rsid w:val="0084036F"/>
    <w:rsid w:val="008405A8"/>
    <w:rsid w:val="00841056"/>
    <w:rsid w:val="0084150B"/>
    <w:rsid w:val="00842DBF"/>
    <w:rsid w:val="0084390E"/>
    <w:rsid w:val="00844F39"/>
    <w:rsid w:val="008450D2"/>
    <w:rsid w:val="00847B02"/>
    <w:rsid w:val="008504A4"/>
    <w:rsid w:val="00854197"/>
    <w:rsid w:val="00854F80"/>
    <w:rsid w:val="00856C97"/>
    <w:rsid w:val="00856DA1"/>
    <w:rsid w:val="0085711B"/>
    <w:rsid w:val="00857674"/>
    <w:rsid w:val="00857D84"/>
    <w:rsid w:val="00857E29"/>
    <w:rsid w:val="00860F84"/>
    <w:rsid w:val="00861796"/>
    <w:rsid w:val="00861911"/>
    <w:rsid w:val="008632B8"/>
    <w:rsid w:val="00865CEA"/>
    <w:rsid w:val="008670B9"/>
    <w:rsid w:val="008672E2"/>
    <w:rsid w:val="008706DF"/>
    <w:rsid w:val="00870FB7"/>
    <w:rsid w:val="00871B54"/>
    <w:rsid w:val="00873D75"/>
    <w:rsid w:val="008755CA"/>
    <w:rsid w:val="0087582C"/>
    <w:rsid w:val="00880523"/>
    <w:rsid w:val="00881488"/>
    <w:rsid w:val="0088432C"/>
    <w:rsid w:val="00884C5B"/>
    <w:rsid w:val="00885B55"/>
    <w:rsid w:val="008872E3"/>
    <w:rsid w:val="00892048"/>
    <w:rsid w:val="00893009"/>
    <w:rsid w:val="008947DA"/>
    <w:rsid w:val="0089582E"/>
    <w:rsid w:val="00895913"/>
    <w:rsid w:val="00896A66"/>
    <w:rsid w:val="008A0470"/>
    <w:rsid w:val="008A0B02"/>
    <w:rsid w:val="008A0E23"/>
    <w:rsid w:val="008A17A3"/>
    <w:rsid w:val="008A34FB"/>
    <w:rsid w:val="008A4D2A"/>
    <w:rsid w:val="008A4F4E"/>
    <w:rsid w:val="008A516B"/>
    <w:rsid w:val="008A5FE5"/>
    <w:rsid w:val="008A6DAC"/>
    <w:rsid w:val="008A6ED3"/>
    <w:rsid w:val="008A762A"/>
    <w:rsid w:val="008B1081"/>
    <w:rsid w:val="008B1673"/>
    <w:rsid w:val="008B1CD7"/>
    <w:rsid w:val="008B2402"/>
    <w:rsid w:val="008B26E4"/>
    <w:rsid w:val="008B27D2"/>
    <w:rsid w:val="008B2B6A"/>
    <w:rsid w:val="008B45F6"/>
    <w:rsid w:val="008B51A2"/>
    <w:rsid w:val="008B5965"/>
    <w:rsid w:val="008B7E84"/>
    <w:rsid w:val="008B7F69"/>
    <w:rsid w:val="008C0447"/>
    <w:rsid w:val="008C0F13"/>
    <w:rsid w:val="008C1198"/>
    <w:rsid w:val="008C163B"/>
    <w:rsid w:val="008C19EC"/>
    <w:rsid w:val="008C32C7"/>
    <w:rsid w:val="008C537F"/>
    <w:rsid w:val="008D1146"/>
    <w:rsid w:val="008D379F"/>
    <w:rsid w:val="008D4E9E"/>
    <w:rsid w:val="008D54B3"/>
    <w:rsid w:val="008E069E"/>
    <w:rsid w:val="008E1044"/>
    <w:rsid w:val="008E223C"/>
    <w:rsid w:val="008E2744"/>
    <w:rsid w:val="008E2E6E"/>
    <w:rsid w:val="008E4639"/>
    <w:rsid w:val="008E7689"/>
    <w:rsid w:val="008F1ED0"/>
    <w:rsid w:val="008F287F"/>
    <w:rsid w:val="008F340A"/>
    <w:rsid w:val="008F4DD4"/>
    <w:rsid w:val="008F4EB6"/>
    <w:rsid w:val="008F5544"/>
    <w:rsid w:val="008F55CF"/>
    <w:rsid w:val="008F566B"/>
    <w:rsid w:val="008F5C11"/>
    <w:rsid w:val="008F7307"/>
    <w:rsid w:val="008F7C9D"/>
    <w:rsid w:val="009030A5"/>
    <w:rsid w:val="00904838"/>
    <w:rsid w:val="009051F6"/>
    <w:rsid w:val="00905582"/>
    <w:rsid w:val="00905819"/>
    <w:rsid w:val="00905B32"/>
    <w:rsid w:val="00907641"/>
    <w:rsid w:val="00907A12"/>
    <w:rsid w:val="00907A3F"/>
    <w:rsid w:val="00910C9B"/>
    <w:rsid w:val="00913517"/>
    <w:rsid w:val="00914477"/>
    <w:rsid w:val="00915470"/>
    <w:rsid w:val="009157E5"/>
    <w:rsid w:val="00915D79"/>
    <w:rsid w:val="0092074A"/>
    <w:rsid w:val="00921C09"/>
    <w:rsid w:val="00922730"/>
    <w:rsid w:val="00922888"/>
    <w:rsid w:val="00924EA4"/>
    <w:rsid w:val="00925790"/>
    <w:rsid w:val="00925EA8"/>
    <w:rsid w:val="00925FB0"/>
    <w:rsid w:val="00927A3E"/>
    <w:rsid w:val="00927C02"/>
    <w:rsid w:val="00927FE1"/>
    <w:rsid w:val="00930EDD"/>
    <w:rsid w:val="009324EB"/>
    <w:rsid w:val="00932A88"/>
    <w:rsid w:val="00934069"/>
    <w:rsid w:val="00934E4E"/>
    <w:rsid w:val="00935267"/>
    <w:rsid w:val="00937F87"/>
    <w:rsid w:val="00941400"/>
    <w:rsid w:val="00941B34"/>
    <w:rsid w:val="00942264"/>
    <w:rsid w:val="00942DEB"/>
    <w:rsid w:val="00942E43"/>
    <w:rsid w:val="0094300E"/>
    <w:rsid w:val="00945BA8"/>
    <w:rsid w:val="00946E61"/>
    <w:rsid w:val="0094786A"/>
    <w:rsid w:val="00947D21"/>
    <w:rsid w:val="00950DDA"/>
    <w:rsid w:val="00951AD9"/>
    <w:rsid w:val="0095365E"/>
    <w:rsid w:val="009549AC"/>
    <w:rsid w:val="00955033"/>
    <w:rsid w:val="00956AAD"/>
    <w:rsid w:val="00956D33"/>
    <w:rsid w:val="00956E71"/>
    <w:rsid w:val="009571D6"/>
    <w:rsid w:val="009579AA"/>
    <w:rsid w:val="00957AAF"/>
    <w:rsid w:val="009616D8"/>
    <w:rsid w:val="0096197C"/>
    <w:rsid w:val="00961DF4"/>
    <w:rsid w:val="009624EC"/>
    <w:rsid w:val="00962AAB"/>
    <w:rsid w:val="00962C33"/>
    <w:rsid w:val="00964809"/>
    <w:rsid w:val="00964B15"/>
    <w:rsid w:val="00964C9C"/>
    <w:rsid w:val="0096518D"/>
    <w:rsid w:val="00965DCC"/>
    <w:rsid w:val="00966762"/>
    <w:rsid w:val="00967169"/>
    <w:rsid w:val="00967430"/>
    <w:rsid w:val="00967FB5"/>
    <w:rsid w:val="00970195"/>
    <w:rsid w:val="0097192A"/>
    <w:rsid w:val="009719D5"/>
    <w:rsid w:val="00972541"/>
    <w:rsid w:val="00972A29"/>
    <w:rsid w:val="00972E43"/>
    <w:rsid w:val="00973719"/>
    <w:rsid w:val="00977663"/>
    <w:rsid w:val="00980289"/>
    <w:rsid w:val="009813CE"/>
    <w:rsid w:val="009829D1"/>
    <w:rsid w:val="009832DB"/>
    <w:rsid w:val="00984D2C"/>
    <w:rsid w:val="00986005"/>
    <w:rsid w:val="00986233"/>
    <w:rsid w:val="009864D7"/>
    <w:rsid w:val="009920B6"/>
    <w:rsid w:val="009944AD"/>
    <w:rsid w:val="00994538"/>
    <w:rsid w:val="00994739"/>
    <w:rsid w:val="00994AB8"/>
    <w:rsid w:val="009978D7"/>
    <w:rsid w:val="009A044A"/>
    <w:rsid w:val="009A14A2"/>
    <w:rsid w:val="009A2A61"/>
    <w:rsid w:val="009A364B"/>
    <w:rsid w:val="009A38DB"/>
    <w:rsid w:val="009A4D4F"/>
    <w:rsid w:val="009A6C8E"/>
    <w:rsid w:val="009A7F7B"/>
    <w:rsid w:val="009B3296"/>
    <w:rsid w:val="009B407B"/>
    <w:rsid w:val="009B63B3"/>
    <w:rsid w:val="009C0441"/>
    <w:rsid w:val="009C0E67"/>
    <w:rsid w:val="009C1FE2"/>
    <w:rsid w:val="009C234D"/>
    <w:rsid w:val="009C2380"/>
    <w:rsid w:val="009C25E8"/>
    <w:rsid w:val="009C2C85"/>
    <w:rsid w:val="009C60FA"/>
    <w:rsid w:val="009C6366"/>
    <w:rsid w:val="009C6447"/>
    <w:rsid w:val="009D0050"/>
    <w:rsid w:val="009D040B"/>
    <w:rsid w:val="009D1554"/>
    <w:rsid w:val="009D5461"/>
    <w:rsid w:val="009D64DE"/>
    <w:rsid w:val="009D6C43"/>
    <w:rsid w:val="009D6E9C"/>
    <w:rsid w:val="009D6FBC"/>
    <w:rsid w:val="009D779F"/>
    <w:rsid w:val="009E0FF8"/>
    <w:rsid w:val="009E14F4"/>
    <w:rsid w:val="009E25ED"/>
    <w:rsid w:val="009F0502"/>
    <w:rsid w:val="009F3975"/>
    <w:rsid w:val="009F4215"/>
    <w:rsid w:val="009F57A5"/>
    <w:rsid w:val="009F626C"/>
    <w:rsid w:val="009F62C6"/>
    <w:rsid w:val="009F6859"/>
    <w:rsid w:val="009F6DE9"/>
    <w:rsid w:val="00A01BB7"/>
    <w:rsid w:val="00A0201D"/>
    <w:rsid w:val="00A0206B"/>
    <w:rsid w:val="00A02113"/>
    <w:rsid w:val="00A04723"/>
    <w:rsid w:val="00A0561E"/>
    <w:rsid w:val="00A0749D"/>
    <w:rsid w:val="00A075E0"/>
    <w:rsid w:val="00A10759"/>
    <w:rsid w:val="00A1094C"/>
    <w:rsid w:val="00A109F7"/>
    <w:rsid w:val="00A11B79"/>
    <w:rsid w:val="00A120B9"/>
    <w:rsid w:val="00A123EA"/>
    <w:rsid w:val="00A12D1A"/>
    <w:rsid w:val="00A14624"/>
    <w:rsid w:val="00A15205"/>
    <w:rsid w:val="00A1588A"/>
    <w:rsid w:val="00A15E53"/>
    <w:rsid w:val="00A1696B"/>
    <w:rsid w:val="00A21AA4"/>
    <w:rsid w:val="00A22476"/>
    <w:rsid w:val="00A229FD"/>
    <w:rsid w:val="00A22B33"/>
    <w:rsid w:val="00A24032"/>
    <w:rsid w:val="00A264B0"/>
    <w:rsid w:val="00A311CF"/>
    <w:rsid w:val="00A31953"/>
    <w:rsid w:val="00A31B44"/>
    <w:rsid w:val="00A31F87"/>
    <w:rsid w:val="00A32B29"/>
    <w:rsid w:val="00A33FA1"/>
    <w:rsid w:val="00A34D79"/>
    <w:rsid w:val="00A3523C"/>
    <w:rsid w:val="00A35B1C"/>
    <w:rsid w:val="00A36F5B"/>
    <w:rsid w:val="00A4071C"/>
    <w:rsid w:val="00A4223B"/>
    <w:rsid w:val="00A42EB8"/>
    <w:rsid w:val="00A439F2"/>
    <w:rsid w:val="00A4409F"/>
    <w:rsid w:val="00A44472"/>
    <w:rsid w:val="00A447DB"/>
    <w:rsid w:val="00A46BDC"/>
    <w:rsid w:val="00A47D1A"/>
    <w:rsid w:val="00A47EDA"/>
    <w:rsid w:val="00A505ED"/>
    <w:rsid w:val="00A50F83"/>
    <w:rsid w:val="00A511BB"/>
    <w:rsid w:val="00A5285D"/>
    <w:rsid w:val="00A5327D"/>
    <w:rsid w:val="00A546F4"/>
    <w:rsid w:val="00A54872"/>
    <w:rsid w:val="00A5487D"/>
    <w:rsid w:val="00A54937"/>
    <w:rsid w:val="00A553DE"/>
    <w:rsid w:val="00A56F52"/>
    <w:rsid w:val="00A6140D"/>
    <w:rsid w:val="00A6217C"/>
    <w:rsid w:val="00A62628"/>
    <w:rsid w:val="00A64246"/>
    <w:rsid w:val="00A64255"/>
    <w:rsid w:val="00A64EB5"/>
    <w:rsid w:val="00A650AA"/>
    <w:rsid w:val="00A657BC"/>
    <w:rsid w:val="00A65C0A"/>
    <w:rsid w:val="00A6623D"/>
    <w:rsid w:val="00A662A6"/>
    <w:rsid w:val="00A669C2"/>
    <w:rsid w:val="00A67636"/>
    <w:rsid w:val="00A678AE"/>
    <w:rsid w:val="00A67AFD"/>
    <w:rsid w:val="00A700E5"/>
    <w:rsid w:val="00A704BC"/>
    <w:rsid w:val="00A713BB"/>
    <w:rsid w:val="00A71A9E"/>
    <w:rsid w:val="00A72848"/>
    <w:rsid w:val="00A72BC9"/>
    <w:rsid w:val="00A73F82"/>
    <w:rsid w:val="00A7421B"/>
    <w:rsid w:val="00A7534B"/>
    <w:rsid w:val="00A755B2"/>
    <w:rsid w:val="00A76026"/>
    <w:rsid w:val="00A76A81"/>
    <w:rsid w:val="00A7702E"/>
    <w:rsid w:val="00A80608"/>
    <w:rsid w:val="00A80ECB"/>
    <w:rsid w:val="00A8184E"/>
    <w:rsid w:val="00A819D1"/>
    <w:rsid w:val="00A81FB0"/>
    <w:rsid w:val="00A8427D"/>
    <w:rsid w:val="00A863F7"/>
    <w:rsid w:val="00A86B09"/>
    <w:rsid w:val="00A90698"/>
    <w:rsid w:val="00A91919"/>
    <w:rsid w:val="00A91F06"/>
    <w:rsid w:val="00A9498A"/>
    <w:rsid w:val="00A94BE1"/>
    <w:rsid w:val="00A96F13"/>
    <w:rsid w:val="00A97322"/>
    <w:rsid w:val="00AA0000"/>
    <w:rsid w:val="00AA04A3"/>
    <w:rsid w:val="00AA1737"/>
    <w:rsid w:val="00AA312F"/>
    <w:rsid w:val="00AA43A1"/>
    <w:rsid w:val="00AA71C0"/>
    <w:rsid w:val="00AB0D9B"/>
    <w:rsid w:val="00AB1AA9"/>
    <w:rsid w:val="00AB1B0A"/>
    <w:rsid w:val="00AB2AB6"/>
    <w:rsid w:val="00AB2D97"/>
    <w:rsid w:val="00AB5D88"/>
    <w:rsid w:val="00AB60B3"/>
    <w:rsid w:val="00AB79B9"/>
    <w:rsid w:val="00AC142F"/>
    <w:rsid w:val="00AC2BBA"/>
    <w:rsid w:val="00AC35B9"/>
    <w:rsid w:val="00AC365A"/>
    <w:rsid w:val="00AC47AC"/>
    <w:rsid w:val="00AC5914"/>
    <w:rsid w:val="00AC5C52"/>
    <w:rsid w:val="00AC5EEA"/>
    <w:rsid w:val="00AC6C32"/>
    <w:rsid w:val="00AC769D"/>
    <w:rsid w:val="00AD0156"/>
    <w:rsid w:val="00AD0384"/>
    <w:rsid w:val="00AD08EC"/>
    <w:rsid w:val="00AD19DD"/>
    <w:rsid w:val="00AD35F2"/>
    <w:rsid w:val="00AD5181"/>
    <w:rsid w:val="00AD5920"/>
    <w:rsid w:val="00AD7C54"/>
    <w:rsid w:val="00AE0E7D"/>
    <w:rsid w:val="00AE1010"/>
    <w:rsid w:val="00AE18AB"/>
    <w:rsid w:val="00AE1B16"/>
    <w:rsid w:val="00AE1BDE"/>
    <w:rsid w:val="00AE3464"/>
    <w:rsid w:val="00AE4207"/>
    <w:rsid w:val="00AE5C67"/>
    <w:rsid w:val="00AE6FE7"/>
    <w:rsid w:val="00AF09A9"/>
    <w:rsid w:val="00AF35EE"/>
    <w:rsid w:val="00AF6017"/>
    <w:rsid w:val="00AF6BD7"/>
    <w:rsid w:val="00AF6C66"/>
    <w:rsid w:val="00AF6EDE"/>
    <w:rsid w:val="00AF766C"/>
    <w:rsid w:val="00AF7F1E"/>
    <w:rsid w:val="00B001BB"/>
    <w:rsid w:val="00B01CC5"/>
    <w:rsid w:val="00B05965"/>
    <w:rsid w:val="00B05AD6"/>
    <w:rsid w:val="00B05C75"/>
    <w:rsid w:val="00B06EB3"/>
    <w:rsid w:val="00B0750B"/>
    <w:rsid w:val="00B10432"/>
    <w:rsid w:val="00B11287"/>
    <w:rsid w:val="00B1168F"/>
    <w:rsid w:val="00B1229F"/>
    <w:rsid w:val="00B126EA"/>
    <w:rsid w:val="00B12D85"/>
    <w:rsid w:val="00B1423D"/>
    <w:rsid w:val="00B144AC"/>
    <w:rsid w:val="00B14920"/>
    <w:rsid w:val="00B14AFA"/>
    <w:rsid w:val="00B17630"/>
    <w:rsid w:val="00B179A4"/>
    <w:rsid w:val="00B219F3"/>
    <w:rsid w:val="00B21E4A"/>
    <w:rsid w:val="00B223AC"/>
    <w:rsid w:val="00B22D4F"/>
    <w:rsid w:val="00B22DF1"/>
    <w:rsid w:val="00B232A1"/>
    <w:rsid w:val="00B24AD2"/>
    <w:rsid w:val="00B25818"/>
    <w:rsid w:val="00B309FB"/>
    <w:rsid w:val="00B30BC7"/>
    <w:rsid w:val="00B31D73"/>
    <w:rsid w:val="00B3278B"/>
    <w:rsid w:val="00B327BF"/>
    <w:rsid w:val="00B32B3D"/>
    <w:rsid w:val="00B3376E"/>
    <w:rsid w:val="00B34BA9"/>
    <w:rsid w:val="00B34CB4"/>
    <w:rsid w:val="00B34FB8"/>
    <w:rsid w:val="00B362A0"/>
    <w:rsid w:val="00B3679F"/>
    <w:rsid w:val="00B375F3"/>
    <w:rsid w:val="00B379A5"/>
    <w:rsid w:val="00B412B3"/>
    <w:rsid w:val="00B41D96"/>
    <w:rsid w:val="00B44484"/>
    <w:rsid w:val="00B448A6"/>
    <w:rsid w:val="00B44AEB"/>
    <w:rsid w:val="00B44DD7"/>
    <w:rsid w:val="00B45C13"/>
    <w:rsid w:val="00B4643C"/>
    <w:rsid w:val="00B50671"/>
    <w:rsid w:val="00B5228F"/>
    <w:rsid w:val="00B53D84"/>
    <w:rsid w:val="00B54168"/>
    <w:rsid w:val="00B578BD"/>
    <w:rsid w:val="00B57ACB"/>
    <w:rsid w:val="00B57B63"/>
    <w:rsid w:val="00B57B65"/>
    <w:rsid w:val="00B57CCB"/>
    <w:rsid w:val="00B60016"/>
    <w:rsid w:val="00B60FB7"/>
    <w:rsid w:val="00B61985"/>
    <w:rsid w:val="00B61B0B"/>
    <w:rsid w:val="00B63F99"/>
    <w:rsid w:val="00B65334"/>
    <w:rsid w:val="00B67965"/>
    <w:rsid w:val="00B70033"/>
    <w:rsid w:val="00B70B3F"/>
    <w:rsid w:val="00B712E5"/>
    <w:rsid w:val="00B71EB2"/>
    <w:rsid w:val="00B72B3D"/>
    <w:rsid w:val="00B73416"/>
    <w:rsid w:val="00B74C6E"/>
    <w:rsid w:val="00B7533A"/>
    <w:rsid w:val="00B7676A"/>
    <w:rsid w:val="00B775ED"/>
    <w:rsid w:val="00B77695"/>
    <w:rsid w:val="00B77965"/>
    <w:rsid w:val="00B80E66"/>
    <w:rsid w:val="00B81E0C"/>
    <w:rsid w:val="00B81F7B"/>
    <w:rsid w:val="00B82432"/>
    <w:rsid w:val="00B83321"/>
    <w:rsid w:val="00B837C8"/>
    <w:rsid w:val="00B83C97"/>
    <w:rsid w:val="00B844D2"/>
    <w:rsid w:val="00B848D9"/>
    <w:rsid w:val="00B84963"/>
    <w:rsid w:val="00B84E79"/>
    <w:rsid w:val="00B8593B"/>
    <w:rsid w:val="00B85FB6"/>
    <w:rsid w:val="00B8633E"/>
    <w:rsid w:val="00B866B5"/>
    <w:rsid w:val="00B86D9F"/>
    <w:rsid w:val="00B87816"/>
    <w:rsid w:val="00B902E4"/>
    <w:rsid w:val="00B902FD"/>
    <w:rsid w:val="00B90DBF"/>
    <w:rsid w:val="00B90DEA"/>
    <w:rsid w:val="00B9116C"/>
    <w:rsid w:val="00B91371"/>
    <w:rsid w:val="00B9271C"/>
    <w:rsid w:val="00B93285"/>
    <w:rsid w:val="00B9338D"/>
    <w:rsid w:val="00B9468E"/>
    <w:rsid w:val="00B950F7"/>
    <w:rsid w:val="00B95DBB"/>
    <w:rsid w:val="00BA0941"/>
    <w:rsid w:val="00BA0FD3"/>
    <w:rsid w:val="00BA1B64"/>
    <w:rsid w:val="00BA24DC"/>
    <w:rsid w:val="00BA31AA"/>
    <w:rsid w:val="00BA4388"/>
    <w:rsid w:val="00BA446B"/>
    <w:rsid w:val="00BA627F"/>
    <w:rsid w:val="00BA6BC4"/>
    <w:rsid w:val="00BA7BA8"/>
    <w:rsid w:val="00BB108E"/>
    <w:rsid w:val="00BB32FE"/>
    <w:rsid w:val="00BB50E1"/>
    <w:rsid w:val="00BB50FB"/>
    <w:rsid w:val="00BB717E"/>
    <w:rsid w:val="00BC0F19"/>
    <w:rsid w:val="00BC26FC"/>
    <w:rsid w:val="00BC2D44"/>
    <w:rsid w:val="00BC3566"/>
    <w:rsid w:val="00BC3D28"/>
    <w:rsid w:val="00BC48AE"/>
    <w:rsid w:val="00BC517E"/>
    <w:rsid w:val="00BC5B1D"/>
    <w:rsid w:val="00BC6451"/>
    <w:rsid w:val="00BC6E73"/>
    <w:rsid w:val="00BD2370"/>
    <w:rsid w:val="00BD432F"/>
    <w:rsid w:val="00BD4C1D"/>
    <w:rsid w:val="00BD6ECC"/>
    <w:rsid w:val="00BE003A"/>
    <w:rsid w:val="00BE0AAD"/>
    <w:rsid w:val="00BE12F1"/>
    <w:rsid w:val="00BE19D6"/>
    <w:rsid w:val="00BE20DA"/>
    <w:rsid w:val="00BE2A8A"/>
    <w:rsid w:val="00BE32EF"/>
    <w:rsid w:val="00BE416C"/>
    <w:rsid w:val="00BE4E59"/>
    <w:rsid w:val="00BE5266"/>
    <w:rsid w:val="00BE531F"/>
    <w:rsid w:val="00BE59B6"/>
    <w:rsid w:val="00BE70CA"/>
    <w:rsid w:val="00BE7ED5"/>
    <w:rsid w:val="00BF0BCF"/>
    <w:rsid w:val="00BF107C"/>
    <w:rsid w:val="00BF261D"/>
    <w:rsid w:val="00BF28EA"/>
    <w:rsid w:val="00BF29DA"/>
    <w:rsid w:val="00BF3793"/>
    <w:rsid w:val="00BF3973"/>
    <w:rsid w:val="00BF4B0B"/>
    <w:rsid w:val="00BF5963"/>
    <w:rsid w:val="00BF655F"/>
    <w:rsid w:val="00BF679A"/>
    <w:rsid w:val="00BF6D20"/>
    <w:rsid w:val="00BF7623"/>
    <w:rsid w:val="00C004FD"/>
    <w:rsid w:val="00C0077D"/>
    <w:rsid w:val="00C01726"/>
    <w:rsid w:val="00C0291E"/>
    <w:rsid w:val="00C03151"/>
    <w:rsid w:val="00C031E2"/>
    <w:rsid w:val="00C03E72"/>
    <w:rsid w:val="00C03F70"/>
    <w:rsid w:val="00C050E5"/>
    <w:rsid w:val="00C063D4"/>
    <w:rsid w:val="00C07029"/>
    <w:rsid w:val="00C07EE6"/>
    <w:rsid w:val="00C12303"/>
    <w:rsid w:val="00C124FC"/>
    <w:rsid w:val="00C14C99"/>
    <w:rsid w:val="00C16F03"/>
    <w:rsid w:val="00C2068A"/>
    <w:rsid w:val="00C225E3"/>
    <w:rsid w:val="00C2280B"/>
    <w:rsid w:val="00C2378C"/>
    <w:rsid w:val="00C23ACB"/>
    <w:rsid w:val="00C24BEF"/>
    <w:rsid w:val="00C25462"/>
    <w:rsid w:val="00C26FDF"/>
    <w:rsid w:val="00C30E0A"/>
    <w:rsid w:val="00C3129E"/>
    <w:rsid w:val="00C315F1"/>
    <w:rsid w:val="00C31EF3"/>
    <w:rsid w:val="00C32216"/>
    <w:rsid w:val="00C33027"/>
    <w:rsid w:val="00C3422A"/>
    <w:rsid w:val="00C3673B"/>
    <w:rsid w:val="00C37603"/>
    <w:rsid w:val="00C41065"/>
    <w:rsid w:val="00C41D1C"/>
    <w:rsid w:val="00C44DE4"/>
    <w:rsid w:val="00C452CA"/>
    <w:rsid w:val="00C457E5"/>
    <w:rsid w:val="00C46BF4"/>
    <w:rsid w:val="00C47481"/>
    <w:rsid w:val="00C4770F"/>
    <w:rsid w:val="00C513FA"/>
    <w:rsid w:val="00C518F7"/>
    <w:rsid w:val="00C52720"/>
    <w:rsid w:val="00C52B5A"/>
    <w:rsid w:val="00C535EB"/>
    <w:rsid w:val="00C53CD5"/>
    <w:rsid w:val="00C53CE5"/>
    <w:rsid w:val="00C54857"/>
    <w:rsid w:val="00C549E4"/>
    <w:rsid w:val="00C54E22"/>
    <w:rsid w:val="00C550AF"/>
    <w:rsid w:val="00C552D8"/>
    <w:rsid w:val="00C554AD"/>
    <w:rsid w:val="00C56683"/>
    <w:rsid w:val="00C57182"/>
    <w:rsid w:val="00C61864"/>
    <w:rsid w:val="00C63433"/>
    <w:rsid w:val="00C65A6F"/>
    <w:rsid w:val="00C66219"/>
    <w:rsid w:val="00C66B99"/>
    <w:rsid w:val="00C66E28"/>
    <w:rsid w:val="00C679E3"/>
    <w:rsid w:val="00C70431"/>
    <w:rsid w:val="00C70AEA"/>
    <w:rsid w:val="00C71A58"/>
    <w:rsid w:val="00C71E63"/>
    <w:rsid w:val="00C7217A"/>
    <w:rsid w:val="00C73214"/>
    <w:rsid w:val="00C73293"/>
    <w:rsid w:val="00C74327"/>
    <w:rsid w:val="00C7695D"/>
    <w:rsid w:val="00C80DB5"/>
    <w:rsid w:val="00C81506"/>
    <w:rsid w:val="00C817DB"/>
    <w:rsid w:val="00C81CF6"/>
    <w:rsid w:val="00C8210D"/>
    <w:rsid w:val="00C82366"/>
    <w:rsid w:val="00C83CB6"/>
    <w:rsid w:val="00C84033"/>
    <w:rsid w:val="00C85E4A"/>
    <w:rsid w:val="00C874CD"/>
    <w:rsid w:val="00C8778C"/>
    <w:rsid w:val="00C91388"/>
    <w:rsid w:val="00C932E8"/>
    <w:rsid w:val="00C93421"/>
    <w:rsid w:val="00C95976"/>
    <w:rsid w:val="00C95E05"/>
    <w:rsid w:val="00C96414"/>
    <w:rsid w:val="00C9682E"/>
    <w:rsid w:val="00C96A0D"/>
    <w:rsid w:val="00C97FE3"/>
    <w:rsid w:val="00CA1302"/>
    <w:rsid w:val="00CA1B07"/>
    <w:rsid w:val="00CA3BFB"/>
    <w:rsid w:val="00CA3F1C"/>
    <w:rsid w:val="00CA4FF6"/>
    <w:rsid w:val="00CA50E1"/>
    <w:rsid w:val="00CA5C3E"/>
    <w:rsid w:val="00CA7BC3"/>
    <w:rsid w:val="00CA7F3B"/>
    <w:rsid w:val="00CB1DA9"/>
    <w:rsid w:val="00CB1F95"/>
    <w:rsid w:val="00CB203F"/>
    <w:rsid w:val="00CB588C"/>
    <w:rsid w:val="00CB59A1"/>
    <w:rsid w:val="00CB6412"/>
    <w:rsid w:val="00CB73AE"/>
    <w:rsid w:val="00CB789D"/>
    <w:rsid w:val="00CC0684"/>
    <w:rsid w:val="00CC3AAB"/>
    <w:rsid w:val="00CC3D84"/>
    <w:rsid w:val="00CC4C54"/>
    <w:rsid w:val="00CC5489"/>
    <w:rsid w:val="00CC6518"/>
    <w:rsid w:val="00CD0089"/>
    <w:rsid w:val="00CD0163"/>
    <w:rsid w:val="00CD0833"/>
    <w:rsid w:val="00CD0DD9"/>
    <w:rsid w:val="00CD1187"/>
    <w:rsid w:val="00CD19E7"/>
    <w:rsid w:val="00CD32EB"/>
    <w:rsid w:val="00CD4B22"/>
    <w:rsid w:val="00CD636A"/>
    <w:rsid w:val="00CD773A"/>
    <w:rsid w:val="00CE089B"/>
    <w:rsid w:val="00CE12EA"/>
    <w:rsid w:val="00CE17F5"/>
    <w:rsid w:val="00CE2073"/>
    <w:rsid w:val="00CE224A"/>
    <w:rsid w:val="00CE4087"/>
    <w:rsid w:val="00CE59F0"/>
    <w:rsid w:val="00CE664C"/>
    <w:rsid w:val="00CE6CBC"/>
    <w:rsid w:val="00CF03B3"/>
    <w:rsid w:val="00CF1654"/>
    <w:rsid w:val="00CF27CE"/>
    <w:rsid w:val="00CF4937"/>
    <w:rsid w:val="00CF5A48"/>
    <w:rsid w:val="00CF6063"/>
    <w:rsid w:val="00CF64A1"/>
    <w:rsid w:val="00CF6896"/>
    <w:rsid w:val="00CF7677"/>
    <w:rsid w:val="00CF7D4B"/>
    <w:rsid w:val="00D01EBF"/>
    <w:rsid w:val="00D040F9"/>
    <w:rsid w:val="00D0438B"/>
    <w:rsid w:val="00D04B80"/>
    <w:rsid w:val="00D0505E"/>
    <w:rsid w:val="00D11D68"/>
    <w:rsid w:val="00D123EA"/>
    <w:rsid w:val="00D14046"/>
    <w:rsid w:val="00D14539"/>
    <w:rsid w:val="00D1491C"/>
    <w:rsid w:val="00D14D78"/>
    <w:rsid w:val="00D150FB"/>
    <w:rsid w:val="00D159BC"/>
    <w:rsid w:val="00D1731F"/>
    <w:rsid w:val="00D1765A"/>
    <w:rsid w:val="00D17E1E"/>
    <w:rsid w:val="00D202CB"/>
    <w:rsid w:val="00D20326"/>
    <w:rsid w:val="00D20EAE"/>
    <w:rsid w:val="00D21B17"/>
    <w:rsid w:val="00D223DC"/>
    <w:rsid w:val="00D22AB1"/>
    <w:rsid w:val="00D23798"/>
    <w:rsid w:val="00D25A0A"/>
    <w:rsid w:val="00D25BF9"/>
    <w:rsid w:val="00D26C25"/>
    <w:rsid w:val="00D276CF"/>
    <w:rsid w:val="00D306F5"/>
    <w:rsid w:val="00D307D5"/>
    <w:rsid w:val="00D31EE0"/>
    <w:rsid w:val="00D32C5D"/>
    <w:rsid w:val="00D34BCC"/>
    <w:rsid w:val="00D41E70"/>
    <w:rsid w:val="00D425B0"/>
    <w:rsid w:val="00D4290D"/>
    <w:rsid w:val="00D42E11"/>
    <w:rsid w:val="00D435A7"/>
    <w:rsid w:val="00D44439"/>
    <w:rsid w:val="00D4722F"/>
    <w:rsid w:val="00D5000B"/>
    <w:rsid w:val="00D50256"/>
    <w:rsid w:val="00D50A8C"/>
    <w:rsid w:val="00D50BC7"/>
    <w:rsid w:val="00D5129B"/>
    <w:rsid w:val="00D51A8E"/>
    <w:rsid w:val="00D528AC"/>
    <w:rsid w:val="00D5447E"/>
    <w:rsid w:val="00D55FE0"/>
    <w:rsid w:val="00D56541"/>
    <w:rsid w:val="00D56A9E"/>
    <w:rsid w:val="00D573D4"/>
    <w:rsid w:val="00D576F3"/>
    <w:rsid w:val="00D612FD"/>
    <w:rsid w:val="00D619DB"/>
    <w:rsid w:val="00D61A6B"/>
    <w:rsid w:val="00D624E5"/>
    <w:rsid w:val="00D63CB1"/>
    <w:rsid w:val="00D64E01"/>
    <w:rsid w:val="00D65A48"/>
    <w:rsid w:val="00D6605E"/>
    <w:rsid w:val="00D674CF"/>
    <w:rsid w:val="00D704E4"/>
    <w:rsid w:val="00D70708"/>
    <w:rsid w:val="00D70B4C"/>
    <w:rsid w:val="00D70D85"/>
    <w:rsid w:val="00D718B6"/>
    <w:rsid w:val="00D73CD2"/>
    <w:rsid w:val="00D77C6C"/>
    <w:rsid w:val="00D800D5"/>
    <w:rsid w:val="00D801C0"/>
    <w:rsid w:val="00D81D25"/>
    <w:rsid w:val="00D827DD"/>
    <w:rsid w:val="00D82B2C"/>
    <w:rsid w:val="00D849D4"/>
    <w:rsid w:val="00D84A32"/>
    <w:rsid w:val="00D85E02"/>
    <w:rsid w:val="00D8614A"/>
    <w:rsid w:val="00D875C6"/>
    <w:rsid w:val="00D90FED"/>
    <w:rsid w:val="00D9130C"/>
    <w:rsid w:val="00D91330"/>
    <w:rsid w:val="00D9284D"/>
    <w:rsid w:val="00D92A7C"/>
    <w:rsid w:val="00D951F0"/>
    <w:rsid w:val="00D95527"/>
    <w:rsid w:val="00D9596D"/>
    <w:rsid w:val="00D96709"/>
    <w:rsid w:val="00D97457"/>
    <w:rsid w:val="00DA1125"/>
    <w:rsid w:val="00DA179F"/>
    <w:rsid w:val="00DA3B96"/>
    <w:rsid w:val="00DA4D44"/>
    <w:rsid w:val="00DA5859"/>
    <w:rsid w:val="00DB1DD2"/>
    <w:rsid w:val="00DB290B"/>
    <w:rsid w:val="00DB3B12"/>
    <w:rsid w:val="00DB439C"/>
    <w:rsid w:val="00DB75AD"/>
    <w:rsid w:val="00DC0952"/>
    <w:rsid w:val="00DC0C1B"/>
    <w:rsid w:val="00DC1998"/>
    <w:rsid w:val="00DC354B"/>
    <w:rsid w:val="00DC4048"/>
    <w:rsid w:val="00DC4710"/>
    <w:rsid w:val="00DC47CB"/>
    <w:rsid w:val="00DC68F8"/>
    <w:rsid w:val="00DC6ADA"/>
    <w:rsid w:val="00DC6C80"/>
    <w:rsid w:val="00DD0140"/>
    <w:rsid w:val="00DD1E1A"/>
    <w:rsid w:val="00DD2C8F"/>
    <w:rsid w:val="00DD4F59"/>
    <w:rsid w:val="00DD5752"/>
    <w:rsid w:val="00DD5C54"/>
    <w:rsid w:val="00DD709E"/>
    <w:rsid w:val="00DD70BF"/>
    <w:rsid w:val="00DD78A7"/>
    <w:rsid w:val="00DE05BD"/>
    <w:rsid w:val="00DE1534"/>
    <w:rsid w:val="00DE17EE"/>
    <w:rsid w:val="00DE362E"/>
    <w:rsid w:val="00DE3B46"/>
    <w:rsid w:val="00DE5E02"/>
    <w:rsid w:val="00DE6425"/>
    <w:rsid w:val="00DE67B7"/>
    <w:rsid w:val="00DE715E"/>
    <w:rsid w:val="00DE716D"/>
    <w:rsid w:val="00DF35D6"/>
    <w:rsid w:val="00DF6215"/>
    <w:rsid w:val="00E00E33"/>
    <w:rsid w:val="00E01348"/>
    <w:rsid w:val="00E01C84"/>
    <w:rsid w:val="00E02CF8"/>
    <w:rsid w:val="00E041D4"/>
    <w:rsid w:val="00E042C4"/>
    <w:rsid w:val="00E05559"/>
    <w:rsid w:val="00E060CA"/>
    <w:rsid w:val="00E10D57"/>
    <w:rsid w:val="00E11E10"/>
    <w:rsid w:val="00E1427F"/>
    <w:rsid w:val="00E161D5"/>
    <w:rsid w:val="00E162EA"/>
    <w:rsid w:val="00E163C4"/>
    <w:rsid w:val="00E1712F"/>
    <w:rsid w:val="00E17EE7"/>
    <w:rsid w:val="00E2118F"/>
    <w:rsid w:val="00E21982"/>
    <w:rsid w:val="00E220F5"/>
    <w:rsid w:val="00E236C6"/>
    <w:rsid w:val="00E23B1C"/>
    <w:rsid w:val="00E240FB"/>
    <w:rsid w:val="00E24254"/>
    <w:rsid w:val="00E24E46"/>
    <w:rsid w:val="00E25E32"/>
    <w:rsid w:val="00E261C2"/>
    <w:rsid w:val="00E2687C"/>
    <w:rsid w:val="00E26FA8"/>
    <w:rsid w:val="00E2736B"/>
    <w:rsid w:val="00E27C6F"/>
    <w:rsid w:val="00E324B9"/>
    <w:rsid w:val="00E327E5"/>
    <w:rsid w:val="00E33165"/>
    <w:rsid w:val="00E33518"/>
    <w:rsid w:val="00E35F83"/>
    <w:rsid w:val="00E37061"/>
    <w:rsid w:val="00E4038B"/>
    <w:rsid w:val="00E40B4A"/>
    <w:rsid w:val="00E41572"/>
    <w:rsid w:val="00E420FD"/>
    <w:rsid w:val="00E427EF"/>
    <w:rsid w:val="00E42D93"/>
    <w:rsid w:val="00E42E44"/>
    <w:rsid w:val="00E4456F"/>
    <w:rsid w:val="00E44B8F"/>
    <w:rsid w:val="00E4515C"/>
    <w:rsid w:val="00E4544C"/>
    <w:rsid w:val="00E458E2"/>
    <w:rsid w:val="00E45B75"/>
    <w:rsid w:val="00E466EA"/>
    <w:rsid w:val="00E51D36"/>
    <w:rsid w:val="00E5218D"/>
    <w:rsid w:val="00E525DB"/>
    <w:rsid w:val="00E54C3A"/>
    <w:rsid w:val="00E54DD2"/>
    <w:rsid w:val="00E54E8E"/>
    <w:rsid w:val="00E5607D"/>
    <w:rsid w:val="00E618AE"/>
    <w:rsid w:val="00E61C8D"/>
    <w:rsid w:val="00E6203B"/>
    <w:rsid w:val="00E62366"/>
    <w:rsid w:val="00E630DD"/>
    <w:rsid w:val="00E639C5"/>
    <w:rsid w:val="00E64345"/>
    <w:rsid w:val="00E64C7B"/>
    <w:rsid w:val="00E6502B"/>
    <w:rsid w:val="00E65B31"/>
    <w:rsid w:val="00E723B2"/>
    <w:rsid w:val="00E73734"/>
    <w:rsid w:val="00E73E89"/>
    <w:rsid w:val="00E7432A"/>
    <w:rsid w:val="00E745DF"/>
    <w:rsid w:val="00E75D0A"/>
    <w:rsid w:val="00E76AD1"/>
    <w:rsid w:val="00E806C2"/>
    <w:rsid w:val="00E83517"/>
    <w:rsid w:val="00E835A8"/>
    <w:rsid w:val="00E83F13"/>
    <w:rsid w:val="00E841A3"/>
    <w:rsid w:val="00E8482A"/>
    <w:rsid w:val="00E87F43"/>
    <w:rsid w:val="00E90306"/>
    <w:rsid w:val="00E90A4E"/>
    <w:rsid w:val="00E93881"/>
    <w:rsid w:val="00E95A85"/>
    <w:rsid w:val="00E960F8"/>
    <w:rsid w:val="00E9668E"/>
    <w:rsid w:val="00E968B6"/>
    <w:rsid w:val="00EA0403"/>
    <w:rsid w:val="00EA3E1C"/>
    <w:rsid w:val="00EA478E"/>
    <w:rsid w:val="00EA48FA"/>
    <w:rsid w:val="00EA4F6F"/>
    <w:rsid w:val="00EA5040"/>
    <w:rsid w:val="00EA689C"/>
    <w:rsid w:val="00EA6A71"/>
    <w:rsid w:val="00EA78F2"/>
    <w:rsid w:val="00EA7FC3"/>
    <w:rsid w:val="00EB01C1"/>
    <w:rsid w:val="00EB1C4D"/>
    <w:rsid w:val="00EB2AE0"/>
    <w:rsid w:val="00EB4016"/>
    <w:rsid w:val="00EB57C1"/>
    <w:rsid w:val="00EB6310"/>
    <w:rsid w:val="00EC183F"/>
    <w:rsid w:val="00EC2553"/>
    <w:rsid w:val="00EC2802"/>
    <w:rsid w:val="00EC2CB1"/>
    <w:rsid w:val="00EC6489"/>
    <w:rsid w:val="00EC6723"/>
    <w:rsid w:val="00ED2869"/>
    <w:rsid w:val="00ED6221"/>
    <w:rsid w:val="00ED76C9"/>
    <w:rsid w:val="00ED7989"/>
    <w:rsid w:val="00EE083F"/>
    <w:rsid w:val="00EE43D0"/>
    <w:rsid w:val="00EE542E"/>
    <w:rsid w:val="00EE59CC"/>
    <w:rsid w:val="00EE62E9"/>
    <w:rsid w:val="00EE693D"/>
    <w:rsid w:val="00EE6BB0"/>
    <w:rsid w:val="00EE7122"/>
    <w:rsid w:val="00EE72AE"/>
    <w:rsid w:val="00EF065E"/>
    <w:rsid w:val="00EF0B30"/>
    <w:rsid w:val="00EF0CDA"/>
    <w:rsid w:val="00EF174A"/>
    <w:rsid w:val="00EF2846"/>
    <w:rsid w:val="00EF2A3E"/>
    <w:rsid w:val="00EF2EC1"/>
    <w:rsid w:val="00EF3091"/>
    <w:rsid w:val="00EF3807"/>
    <w:rsid w:val="00EF41E6"/>
    <w:rsid w:val="00EF4A08"/>
    <w:rsid w:val="00EF5744"/>
    <w:rsid w:val="00EF66C6"/>
    <w:rsid w:val="00EF6A61"/>
    <w:rsid w:val="00EF6EBB"/>
    <w:rsid w:val="00EF7D4E"/>
    <w:rsid w:val="00F00203"/>
    <w:rsid w:val="00F0046B"/>
    <w:rsid w:val="00F00E2A"/>
    <w:rsid w:val="00F01DA4"/>
    <w:rsid w:val="00F02775"/>
    <w:rsid w:val="00F027C5"/>
    <w:rsid w:val="00F02848"/>
    <w:rsid w:val="00F051B0"/>
    <w:rsid w:val="00F06D51"/>
    <w:rsid w:val="00F06D56"/>
    <w:rsid w:val="00F10D79"/>
    <w:rsid w:val="00F11614"/>
    <w:rsid w:val="00F11FCB"/>
    <w:rsid w:val="00F1353E"/>
    <w:rsid w:val="00F149D1"/>
    <w:rsid w:val="00F160F7"/>
    <w:rsid w:val="00F178C6"/>
    <w:rsid w:val="00F20A5A"/>
    <w:rsid w:val="00F2123D"/>
    <w:rsid w:val="00F217C0"/>
    <w:rsid w:val="00F23355"/>
    <w:rsid w:val="00F233DC"/>
    <w:rsid w:val="00F24296"/>
    <w:rsid w:val="00F303F6"/>
    <w:rsid w:val="00F30F12"/>
    <w:rsid w:val="00F30F35"/>
    <w:rsid w:val="00F3449D"/>
    <w:rsid w:val="00F3695C"/>
    <w:rsid w:val="00F37AB2"/>
    <w:rsid w:val="00F37C84"/>
    <w:rsid w:val="00F40B89"/>
    <w:rsid w:val="00F42FFC"/>
    <w:rsid w:val="00F43A7A"/>
    <w:rsid w:val="00F44509"/>
    <w:rsid w:val="00F4486F"/>
    <w:rsid w:val="00F44E52"/>
    <w:rsid w:val="00F46287"/>
    <w:rsid w:val="00F46B0A"/>
    <w:rsid w:val="00F50252"/>
    <w:rsid w:val="00F50EB5"/>
    <w:rsid w:val="00F50EB9"/>
    <w:rsid w:val="00F51866"/>
    <w:rsid w:val="00F51B27"/>
    <w:rsid w:val="00F51F75"/>
    <w:rsid w:val="00F52CE4"/>
    <w:rsid w:val="00F539E1"/>
    <w:rsid w:val="00F53F9B"/>
    <w:rsid w:val="00F54BB1"/>
    <w:rsid w:val="00F553C2"/>
    <w:rsid w:val="00F56DDF"/>
    <w:rsid w:val="00F60D81"/>
    <w:rsid w:val="00F61EFF"/>
    <w:rsid w:val="00F624AC"/>
    <w:rsid w:val="00F62ACC"/>
    <w:rsid w:val="00F64000"/>
    <w:rsid w:val="00F646D1"/>
    <w:rsid w:val="00F646EF"/>
    <w:rsid w:val="00F64FDC"/>
    <w:rsid w:val="00F65B71"/>
    <w:rsid w:val="00F66F2B"/>
    <w:rsid w:val="00F674F0"/>
    <w:rsid w:val="00F70A45"/>
    <w:rsid w:val="00F71961"/>
    <w:rsid w:val="00F72E84"/>
    <w:rsid w:val="00F7358E"/>
    <w:rsid w:val="00F73BE5"/>
    <w:rsid w:val="00F750F9"/>
    <w:rsid w:val="00F751B3"/>
    <w:rsid w:val="00F75F9C"/>
    <w:rsid w:val="00F770D7"/>
    <w:rsid w:val="00F81D44"/>
    <w:rsid w:val="00F82300"/>
    <w:rsid w:val="00F826BF"/>
    <w:rsid w:val="00F82D37"/>
    <w:rsid w:val="00F83DCE"/>
    <w:rsid w:val="00F86B7E"/>
    <w:rsid w:val="00F86C51"/>
    <w:rsid w:val="00F87308"/>
    <w:rsid w:val="00F87EF5"/>
    <w:rsid w:val="00F90C3C"/>
    <w:rsid w:val="00F91952"/>
    <w:rsid w:val="00F91D59"/>
    <w:rsid w:val="00F926DC"/>
    <w:rsid w:val="00F93EDF"/>
    <w:rsid w:val="00F93F29"/>
    <w:rsid w:val="00F9421D"/>
    <w:rsid w:val="00F95A21"/>
    <w:rsid w:val="00F9619E"/>
    <w:rsid w:val="00F96321"/>
    <w:rsid w:val="00F97F87"/>
    <w:rsid w:val="00F97F9B"/>
    <w:rsid w:val="00FA0556"/>
    <w:rsid w:val="00FA0693"/>
    <w:rsid w:val="00FA2A88"/>
    <w:rsid w:val="00FA3A09"/>
    <w:rsid w:val="00FA3F8A"/>
    <w:rsid w:val="00FA4117"/>
    <w:rsid w:val="00FA66D5"/>
    <w:rsid w:val="00FA69D6"/>
    <w:rsid w:val="00FA6E83"/>
    <w:rsid w:val="00FA706A"/>
    <w:rsid w:val="00FA7308"/>
    <w:rsid w:val="00FA74B8"/>
    <w:rsid w:val="00FB009B"/>
    <w:rsid w:val="00FB0208"/>
    <w:rsid w:val="00FB0CEB"/>
    <w:rsid w:val="00FB0DAF"/>
    <w:rsid w:val="00FB1790"/>
    <w:rsid w:val="00FB1794"/>
    <w:rsid w:val="00FB184A"/>
    <w:rsid w:val="00FB23EB"/>
    <w:rsid w:val="00FB2968"/>
    <w:rsid w:val="00FB2A5B"/>
    <w:rsid w:val="00FB2E89"/>
    <w:rsid w:val="00FB3D18"/>
    <w:rsid w:val="00FB40C7"/>
    <w:rsid w:val="00FB7BC2"/>
    <w:rsid w:val="00FB7CD1"/>
    <w:rsid w:val="00FC02FD"/>
    <w:rsid w:val="00FC04EE"/>
    <w:rsid w:val="00FC053E"/>
    <w:rsid w:val="00FC105E"/>
    <w:rsid w:val="00FC298E"/>
    <w:rsid w:val="00FC6026"/>
    <w:rsid w:val="00FC7042"/>
    <w:rsid w:val="00FC7A39"/>
    <w:rsid w:val="00FD10EA"/>
    <w:rsid w:val="00FD391C"/>
    <w:rsid w:val="00FD47FA"/>
    <w:rsid w:val="00FD4A3A"/>
    <w:rsid w:val="00FD558A"/>
    <w:rsid w:val="00FD6181"/>
    <w:rsid w:val="00FD6205"/>
    <w:rsid w:val="00FD652A"/>
    <w:rsid w:val="00FD682F"/>
    <w:rsid w:val="00FD7605"/>
    <w:rsid w:val="00FE0277"/>
    <w:rsid w:val="00FE0733"/>
    <w:rsid w:val="00FE09A9"/>
    <w:rsid w:val="00FE0CCB"/>
    <w:rsid w:val="00FE5967"/>
    <w:rsid w:val="00FE653E"/>
    <w:rsid w:val="00FE65FE"/>
    <w:rsid w:val="00FE6C1D"/>
    <w:rsid w:val="00FE78B1"/>
    <w:rsid w:val="00FF0CF6"/>
    <w:rsid w:val="00FF1B1E"/>
    <w:rsid w:val="00FF2403"/>
    <w:rsid w:val="00FF342F"/>
    <w:rsid w:val="00FF3797"/>
    <w:rsid w:val="00FF4814"/>
    <w:rsid w:val="00FF49EF"/>
    <w:rsid w:val="00FF5829"/>
    <w:rsid w:val="00FF5956"/>
    <w:rsid w:val="00FF6098"/>
    <w:rsid w:val="00FF6D8F"/>
    <w:rsid w:val="00FF6F47"/>
    <w:rsid w:val="00FF7B41"/>
    <w:rsid w:val="00FF7C7E"/>
    <w:rsid w:val="01AC66E6"/>
    <w:rsid w:val="01D8357C"/>
    <w:rsid w:val="038E1D2C"/>
    <w:rsid w:val="03C42A14"/>
    <w:rsid w:val="03EB2A44"/>
    <w:rsid w:val="03FE985D"/>
    <w:rsid w:val="041632CA"/>
    <w:rsid w:val="048B32D4"/>
    <w:rsid w:val="04A671BF"/>
    <w:rsid w:val="057027F5"/>
    <w:rsid w:val="05C62221"/>
    <w:rsid w:val="069B12F8"/>
    <w:rsid w:val="07660241"/>
    <w:rsid w:val="077C5544"/>
    <w:rsid w:val="07D22B47"/>
    <w:rsid w:val="07DC0AB5"/>
    <w:rsid w:val="0A5F5B47"/>
    <w:rsid w:val="0A9C0127"/>
    <w:rsid w:val="0AE55FEA"/>
    <w:rsid w:val="0AF22D2F"/>
    <w:rsid w:val="0B9475AC"/>
    <w:rsid w:val="0BBE7EBF"/>
    <w:rsid w:val="0BF21886"/>
    <w:rsid w:val="0CFE3910"/>
    <w:rsid w:val="0CFE6088"/>
    <w:rsid w:val="0D7A4127"/>
    <w:rsid w:val="0D8A4DE6"/>
    <w:rsid w:val="0DD56120"/>
    <w:rsid w:val="0E2D2CF1"/>
    <w:rsid w:val="0E8B39EE"/>
    <w:rsid w:val="0E984FEB"/>
    <w:rsid w:val="0EC266A4"/>
    <w:rsid w:val="0EFE9532"/>
    <w:rsid w:val="0F5D4E61"/>
    <w:rsid w:val="0F973FB0"/>
    <w:rsid w:val="0F995DE0"/>
    <w:rsid w:val="0FB003BA"/>
    <w:rsid w:val="0FF41A73"/>
    <w:rsid w:val="101C464B"/>
    <w:rsid w:val="109F698B"/>
    <w:rsid w:val="10AA642D"/>
    <w:rsid w:val="10CF78B4"/>
    <w:rsid w:val="10FB7C4C"/>
    <w:rsid w:val="11C97CE9"/>
    <w:rsid w:val="12147FB8"/>
    <w:rsid w:val="126D197A"/>
    <w:rsid w:val="12793F86"/>
    <w:rsid w:val="129170EE"/>
    <w:rsid w:val="12EC1224"/>
    <w:rsid w:val="133711AE"/>
    <w:rsid w:val="13913395"/>
    <w:rsid w:val="139B5716"/>
    <w:rsid w:val="139D4FEA"/>
    <w:rsid w:val="13AC665C"/>
    <w:rsid w:val="13D535DB"/>
    <w:rsid w:val="13EA58F8"/>
    <w:rsid w:val="146520C8"/>
    <w:rsid w:val="14BF2350"/>
    <w:rsid w:val="15326149"/>
    <w:rsid w:val="15C30AAF"/>
    <w:rsid w:val="15E8637F"/>
    <w:rsid w:val="15FE2E86"/>
    <w:rsid w:val="1691415F"/>
    <w:rsid w:val="17013B9C"/>
    <w:rsid w:val="176A526F"/>
    <w:rsid w:val="17C73392"/>
    <w:rsid w:val="18B1076D"/>
    <w:rsid w:val="18C130FE"/>
    <w:rsid w:val="18F953B8"/>
    <w:rsid w:val="191E61E7"/>
    <w:rsid w:val="192948D9"/>
    <w:rsid w:val="194D6F84"/>
    <w:rsid w:val="1A057BDE"/>
    <w:rsid w:val="1A292587"/>
    <w:rsid w:val="1A4511A7"/>
    <w:rsid w:val="1A8C2D49"/>
    <w:rsid w:val="1AA9189B"/>
    <w:rsid w:val="1AAB7B83"/>
    <w:rsid w:val="1AB20E08"/>
    <w:rsid w:val="1AE16104"/>
    <w:rsid w:val="1AFFDA55"/>
    <w:rsid w:val="1B2A0A4D"/>
    <w:rsid w:val="1B50067A"/>
    <w:rsid w:val="1B6803FB"/>
    <w:rsid w:val="1BCE1333"/>
    <w:rsid w:val="1BFDA0B2"/>
    <w:rsid w:val="1C2740A2"/>
    <w:rsid w:val="1C872CC6"/>
    <w:rsid w:val="1D552F82"/>
    <w:rsid w:val="1DD50789"/>
    <w:rsid w:val="1DFFADFE"/>
    <w:rsid w:val="1E234724"/>
    <w:rsid w:val="1E305402"/>
    <w:rsid w:val="1E7D15E2"/>
    <w:rsid w:val="1EA74518"/>
    <w:rsid w:val="1EF45FD8"/>
    <w:rsid w:val="1EFCDB18"/>
    <w:rsid w:val="1F58546C"/>
    <w:rsid w:val="1FE05A43"/>
    <w:rsid w:val="1FE33510"/>
    <w:rsid w:val="1FE926E6"/>
    <w:rsid w:val="200E6BA4"/>
    <w:rsid w:val="20967C29"/>
    <w:rsid w:val="20BE29CA"/>
    <w:rsid w:val="211E1C8E"/>
    <w:rsid w:val="211F1734"/>
    <w:rsid w:val="21242A53"/>
    <w:rsid w:val="214655FD"/>
    <w:rsid w:val="21A960DD"/>
    <w:rsid w:val="220B596D"/>
    <w:rsid w:val="221C28F1"/>
    <w:rsid w:val="226136F6"/>
    <w:rsid w:val="22B64E76"/>
    <w:rsid w:val="22F730B5"/>
    <w:rsid w:val="23AE6894"/>
    <w:rsid w:val="23B26890"/>
    <w:rsid w:val="24082FB2"/>
    <w:rsid w:val="25144C16"/>
    <w:rsid w:val="25331CBC"/>
    <w:rsid w:val="26085AF6"/>
    <w:rsid w:val="26106FF6"/>
    <w:rsid w:val="262036BB"/>
    <w:rsid w:val="26775B6F"/>
    <w:rsid w:val="268A2580"/>
    <w:rsid w:val="26D95D25"/>
    <w:rsid w:val="274F0CE3"/>
    <w:rsid w:val="27526E10"/>
    <w:rsid w:val="2789005A"/>
    <w:rsid w:val="27952F8C"/>
    <w:rsid w:val="27971B48"/>
    <w:rsid w:val="27B323B2"/>
    <w:rsid w:val="27B8199C"/>
    <w:rsid w:val="282741C6"/>
    <w:rsid w:val="294F464F"/>
    <w:rsid w:val="296E5E07"/>
    <w:rsid w:val="299634C7"/>
    <w:rsid w:val="29A5570A"/>
    <w:rsid w:val="29A90A10"/>
    <w:rsid w:val="29FC230F"/>
    <w:rsid w:val="2A4D63F8"/>
    <w:rsid w:val="2A5E66E2"/>
    <w:rsid w:val="2A665D56"/>
    <w:rsid w:val="2A724C17"/>
    <w:rsid w:val="2A754FB7"/>
    <w:rsid w:val="2A813754"/>
    <w:rsid w:val="2AA7101A"/>
    <w:rsid w:val="2B0C3117"/>
    <w:rsid w:val="2B1C0657"/>
    <w:rsid w:val="2B54040B"/>
    <w:rsid w:val="2BA07D2D"/>
    <w:rsid w:val="2BFE4C0E"/>
    <w:rsid w:val="2C2459C8"/>
    <w:rsid w:val="2C6A2E95"/>
    <w:rsid w:val="2CC43190"/>
    <w:rsid w:val="2CC66F08"/>
    <w:rsid w:val="2CEE2E99"/>
    <w:rsid w:val="2D0A2F40"/>
    <w:rsid w:val="2D0A3F1C"/>
    <w:rsid w:val="2D237DF4"/>
    <w:rsid w:val="2D26668C"/>
    <w:rsid w:val="2D650F57"/>
    <w:rsid w:val="2DD02B38"/>
    <w:rsid w:val="2DDB526C"/>
    <w:rsid w:val="2E193BD6"/>
    <w:rsid w:val="2E5442DB"/>
    <w:rsid w:val="2EBDEB1A"/>
    <w:rsid w:val="2EDF0D03"/>
    <w:rsid w:val="2EF3743E"/>
    <w:rsid w:val="2F012273"/>
    <w:rsid w:val="2FDFA4A4"/>
    <w:rsid w:val="2FE4293C"/>
    <w:rsid w:val="2FF91470"/>
    <w:rsid w:val="30155593"/>
    <w:rsid w:val="306B10F3"/>
    <w:rsid w:val="308A097E"/>
    <w:rsid w:val="30ED7159"/>
    <w:rsid w:val="31107F6C"/>
    <w:rsid w:val="31334EE7"/>
    <w:rsid w:val="31615451"/>
    <w:rsid w:val="31E35A37"/>
    <w:rsid w:val="31F2530D"/>
    <w:rsid w:val="32036AB8"/>
    <w:rsid w:val="3264362D"/>
    <w:rsid w:val="32894808"/>
    <w:rsid w:val="32A239EE"/>
    <w:rsid w:val="32AA33B0"/>
    <w:rsid w:val="32B60F75"/>
    <w:rsid w:val="32BB1FA1"/>
    <w:rsid w:val="32D8461B"/>
    <w:rsid w:val="336879CD"/>
    <w:rsid w:val="3393190B"/>
    <w:rsid w:val="34152479"/>
    <w:rsid w:val="34BA45C5"/>
    <w:rsid w:val="34C63DB0"/>
    <w:rsid w:val="353401A7"/>
    <w:rsid w:val="3536504B"/>
    <w:rsid w:val="35AE1C27"/>
    <w:rsid w:val="35D94EC4"/>
    <w:rsid w:val="35F135B5"/>
    <w:rsid w:val="35F20D6E"/>
    <w:rsid w:val="36146DA2"/>
    <w:rsid w:val="3637E740"/>
    <w:rsid w:val="36802625"/>
    <w:rsid w:val="36E5694B"/>
    <w:rsid w:val="37023F74"/>
    <w:rsid w:val="37373B30"/>
    <w:rsid w:val="3775633E"/>
    <w:rsid w:val="377C40DC"/>
    <w:rsid w:val="37B7401D"/>
    <w:rsid w:val="37DB51E5"/>
    <w:rsid w:val="38060F79"/>
    <w:rsid w:val="382C7C9F"/>
    <w:rsid w:val="386A7B99"/>
    <w:rsid w:val="3911623E"/>
    <w:rsid w:val="394D3415"/>
    <w:rsid w:val="39DA2245"/>
    <w:rsid w:val="39F54D8F"/>
    <w:rsid w:val="3A1E45A7"/>
    <w:rsid w:val="3A594AF6"/>
    <w:rsid w:val="3ADF3C25"/>
    <w:rsid w:val="3AE837DE"/>
    <w:rsid w:val="3B006877"/>
    <w:rsid w:val="3B5F60D8"/>
    <w:rsid w:val="3B6B5501"/>
    <w:rsid w:val="3B91050E"/>
    <w:rsid w:val="3BC53180"/>
    <w:rsid w:val="3BCB1A21"/>
    <w:rsid w:val="3BF336C9"/>
    <w:rsid w:val="3BF70D1A"/>
    <w:rsid w:val="3C457C71"/>
    <w:rsid w:val="3C961C72"/>
    <w:rsid w:val="3D0824F2"/>
    <w:rsid w:val="3D3E4B25"/>
    <w:rsid w:val="3D5D3E54"/>
    <w:rsid w:val="3D7D8DDB"/>
    <w:rsid w:val="3DA47757"/>
    <w:rsid w:val="3DCBDF92"/>
    <w:rsid w:val="3DF613E5"/>
    <w:rsid w:val="3DFE173B"/>
    <w:rsid w:val="3E145494"/>
    <w:rsid w:val="3E5F2072"/>
    <w:rsid w:val="3F08537C"/>
    <w:rsid w:val="3F8F9B04"/>
    <w:rsid w:val="3FF046A9"/>
    <w:rsid w:val="3FFB31B0"/>
    <w:rsid w:val="40225A46"/>
    <w:rsid w:val="407151C0"/>
    <w:rsid w:val="40866C82"/>
    <w:rsid w:val="42002A64"/>
    <w:rsid w:val="42042326"/>
    <w:rsid w:val="428F7E16"/>
    <w:rsid w:val="42CB3072"/>
    <w:rsid w:val="43764F4F"/>
    <w:rsid w:val="439534B7"/>
    <w:rsid w:val="43EC32A0"/>
    <w:rsid w:val="440B5A76"/>
    <w:rsid w:val="44680E05"/>
    <w:rsid w:val="44735AC2"/>
    <w:rsid w:val="447514E8"/>
    <w:rsid w:val="447FD142"/>
    <w:rsid w:val="452B6B43"/>
    <w:rsid w:val="4543393B"/>
    <w:rsid w:val="45720B87"/>
    <w:rsid w:val="458A1C75"/>
    <w:rsid w:val="462E6CFB"/>
    <w:rsid w:val="46505319"/>
    <w:rsid w:val="4657031D"/>
    <w:rsid w:val="46852B3B"/>
    <w:rsid w:val="46AE6F33"/>
    <w:rsid w:val="47262349"/>
    <w:rsid w:val="473F1104"/>
    <w:rsid w:val="47A70802"/>
    <w:rsid w:val="47BC54D2"/>
    <w:rsid w:val="47EC6532"/>
    <w:rsid w:val="47EF1A1E"/>
    <w:rsid w:val="4833361D"/>
    <w:rsid w:val="484B7813"/>
    <w:rsid w:val="48537D92"/>
    <w:rsid w:val="489C73EB"/>
    <w:rsid w:val="48DB38E3"/>
    <w:rsid w:val="48E96C05"/>
    <w:rsid w:val="49212D46"/>
    <w:rsid w:val="496B1F5D"/>
    <w:rsid w:val="49992511"/>
    <w:rsid w:val="499C2FD4"/>
    <w:rsid w:val="49C82745"/>
    <w:rsid w:val="49D91881"/>
    <w:rsid w:val="4A53256E"/>
    <w:rsid w:val="4A783C4A"/>
    <w:rsid w:val="4AC2633C"/>
    <w:rsid w:val="4ACD3AC6"/>
    <w:rsid w:val="4AE301E8"/>
    <w:rsid w:val="4AF908D7"/>
    <w:rsid w:val="4B095180"/>
    <w:rsid w:val="4B0E4239"/>
    <w:rsid w:val="4B2923FC"/>
    <w:rsid w:val="4BC40310"/>
    <w:rsid w:val="4BC65DDE"/>
    <w:rsid w:val="4C2F4672"/>
    <w:rsid w:val="4C977F3D"/>
    <w:rsid w:val="4CC05D56"/>
    <w:rsid w:val="4CD86909"/>
    <w:rsid w:val="4CEF7D19"/>
    <w:rsid w:val="4D0A61E8"/>
    <w:rsid w:val="4D360ADE"/>
    <w:rsid w:val="4D3F08E5"/>
    <w:rsid w:val="4D925786"/>
    <w:rsid w:val="4D980119"/>
    <w:rsid w:val="4DDD231E"/>
    <w:rsid w:val="4DDE4384"/>
    <w:rsid w:val="4E395334"/>
    <w:rsid w:val="4EB83943"/>
    <w:rsid w:val="4F2465D2"/>
    <w:rsid w:val="4FFF0A3D"/>
    <w:rsid w:val="50DA737C"/>
    <w:rsid w:val="50E86E8A"/>
    <w:rsid w:val="510546E8"/>
    <w:rsid w:val="510C4F82"/>
    <w:rsid w:val="51142088"/>
    <w:rsid w:val="51294772"/>
    <w:rsid w:val="51DA40C9"/>
    <w:rsid w:val="5218607B"/>
    <w:rsid w:val="522839E8"/>
    <w:rsid w:val="52CC4866"/>
    <w:rsid w:val="52E7009A"/>
    <w:rsid w:val="52F975AA"/>
    <w:rsid w:val="53412673"/>
    <w:rsid w:val="53430A03"/>
    <w:rsid w:val="53755018"/>
    <w:rsid w:val="53AA2E39"/>
    <w:rsid w:val="540775FE"/>
    <w:rsid w:val="543D1359"/>
    <w:rsid w:val="54643F77"/>
    <w:rsid w:val="54B846BC"/>
    <w:rsid w:val="54F12D38"/>
    <w:rsid w:val="559753B3"/>
    <w:rsid w:val="564A221E"/>
    <w:rsid w:val="56623148"/>
    <w:rsid w:val="56A2722C"/>
    <w:rsid w:val="56F75F5F"/>
    <w:rsid w:val="56FAA802"/>
    <w:rsid w:val="574B2780"/>
    <w:rsid w:val="57967CC2"/>
    <w:rsid w:val="57D7E7E3"/>
    <w:rsid w:val="585505CC"/>
    <w:rsid w:val="58DD01AC"/>
    <w:rsid w:val="59C71F45"/>
    <w:rsid w:val="59F909EF"/>
    <w:rsid w:val="59F9E802"/>
    <w:rsid w:val="5A5D2824"/>
    <w:rsid w:val="5A961FCB"/>
    <w:rsid w:val="5AA85A3A"/>
    <w:rsid w:val="5AF462E0"/>
    <w:rsid w:val="5AFCD36C"/>
    <w:rsid w:val="5AFEE4F8"/>
    <w:rsid w:val="5B4903B0"/>
    <w:rsid w:val="5BD7BCA6"/>
    <w:rsid w:val="5BE8124D"/>
    <w:rsid w:val="5C1415AA"/>
    <w:rsid w:val="5C32722D"/>
    <w:rsid w:val="5C6A3A2D"/>
    <w:rsid w:val="5C7D31D8"/>
    <w:rsid w:val="5C8A3DEF"/>
    <w:rsid w:val="5CAA35BE"/>
    <w:rsid w:val="5D4916B2"/>
    <w:rsid w:val="5D50269A"/>
    <w:rsid w:val="5DA039F4"/>
    <w:rsid w:val="5DE87864"/>
    <w:rsid w:val="5DFB50C7"/>
    <w:rsid w:val="5DFD9689"/>
    <w:rsid w:val="5E435D5B"/>
    <w:rsid w:val="5E456670"/>
    <w:rsid w:val="5E526E81"/>
    <w:rsid w:val="5E7D4C04"/>
    <w:rsid w:val="5EA02006"/>
    <w:rsid w:val="5EDB659D"/>
    <w:rsid w:val="5EF77271"/>
    <w:rsid w:val="5EFF8F1E"/>
    <w:rsid w:val="5F30008D"/>
    <w:rsid w:val="5F7D3D80"/>
    <w:rsid w:val="5F985586"/>
    <w:rsid w:val="5FA03C0C"/>
    <w:rsid w:val="5FA77C0D"/>
    <w:rsid w:val="5FDD8E1A"/>
    <w:rsid w:val="5FFCAAC4"/>
    <w:rsid w:val="604820CA"/>
    <w:rsid w:val="6098238E"/>
    <w:rsid w:val="60A219BB"/>
    <w:rsid w:val="60FC4CC5"/>
    <w:rsid w:val="61204131"/>
    <w:rsid w:val="61364418"/>
    <w:rsid w:val="6177777B"/>
    <w:rsid w:val="619F297F"/>
    <w:rsid w:val="61E95161"/>
    <w:rsid w:val="626531E9"/>
    <w:rsid w:val="62DD3058"/>
    <w:rsid w:val="62FFD8E4"/>
    <w:rsid w:val="63077684"/>
    <w:rsid w:val="63BC11EB"/>
    <w:rsid w:val="6404149A"/>
    <w:rsid w:val="641B635A"/>
    <w:rsid w:val="6429193C"/>
    <w:rsid w:val="643E063C"/>
    <w:rsid w:val="647909E6"/>
    <w:rsid w:val="64DD679A"/>
    <w:rsid w:val="64F93617"/>
    <w:rsid w:val="64FD5243"/>
    <w:rsid w:val="65591B4C"/>
    <w:rsid w:val="65A03540"/>
    <w:rsid w:val="65BA771E"/>
    <w:rsid w:val="665D7B70"/>
    <w:rsid w:val="66F12B72"/>
    <w:rsid w:val="66FC0B8D"/>
    <w:rsid w:val="67606A98"/>
    <w:rsid w:val="676941E4"/>
    <w:rsid w:val="6781599B"/>
    <w:rsid w:val="67BD64D3"/>
    <w:rsid w:val="67C370B7"/>
    <w:rsid w:val="67E07902"/>
    <w:rsid w:val="688A721E"/>
    <w:rsid w:val="68FB0DF0"/>
    <w:rsid w:val="692E686F"/>
    <w:rsid w:val="69316DDE"/>
    <w:rsid w:val="69A8671E"/>
    <w:rsid w:val="69EC6137"/>
    <w:rsid w:val="6A4304D6"/>
    <w:rsid w:val="6A7E5538"/>
    <w:rsid w:val="6AE25F2E"/>
    <w:rsid w:val="6B5D206E"/>
    <w:rsid w:val="6BD00555"/>
    <w:rsid w:val="6BE3786F"/>
    <w:rsid w:val="6BFF38EC"/>
    <w:rsid w:val="6C5C4BB7"/>
    <w:rsid w:val="6C8F1C0E"/>
    <w:rsid w:val="6CFC0684"/>
    <w:rsid w:val="6D056FEF"/>
    <w:rsid w:val="6D521D83"/>
    <w:rsid w:val="6DB4457F"/>
    <w:rsid w:val="6E033BD3"/>
    <w:rsid w:val="6E231C40"/>
    <w:rsid w:val="6EC50607"/>
    <w:rsid w:val="6ED27CF0"/>
    <w:rsid w:val="6F2A182F"/>
    <w:rsid w:val="6F3B639D"/>
    <w:rsid w:val="6F4E0629"/>
    <w:rsid w:val="6F5B0149"/>
    <w:rsid w:val="6F754744"/>
    <w:rsid w:val="6F927911"/>
    <w:rsid w:val="6FA01E0E"/>
    <w:rsid w:val="6FBD5AC4"/>
    <w:rsid w:val="6FD1813E"/>
    <w:rsid w:val="6FED164E"/>
    <w:rsid w:val="700328C3"/>
    <w:rsid w:val="702937E8"/>
    <w:rsid w:val="7118618C"/>
    <w:rsid w:val="712376EF"/>
    <w:rsid w:val="71E00990"/>
    <w:rsid w:val="722F1E8D"/>
    <w:rsid w:val="728169A4"/>
    <w:rsid w:val="730155E3"/>
    <w:rsid w:val="730E3718"/>
    <w:rsid w:val="733C49EE"/>
    <w:rsid w:val="739D275E"/>
    <w:rsid w:val="742003CA"/>
    <w:rsid w:val="7434548C"/>
    <w:rsid w:val="74412836"/>
    <w:rsid w:val="747ECAFB"/>
    <w:rsid w:val="74C4779E"/>
    <w:rsid w:val="74EE481B"/>
    <w:rsid w:val="757709F2"/>
    <w:rsid w:val="75B3511C"/>
    <w:rsid w:val="75D409D6"/>
    <w:rsid w:val="760630B0"/>
    <w:rsid w:val="766560F4"/>
    <w:rsid w:val="776C10E6"/>
    <w:rsid w:val="77D62AB3"/>
    <w:rsid w:val="77DB72D8"/>
    <w:rsid w:val="77F149BA"/>
    <w:rsid w:val="78427A89"/>
    <w:rsid w:val="78793FF2"/>
    <w:rsid w:val="78BC6C86"/>
    <w:rsid w:val="78D562D5"/>
    <w:rsid w:val="78FF4092"/>
    <w:rsid w:val="79392E88"/>
    <w:rsid w:val="795EF983"/>
    <w:rsid w:val="79670729"/>
    <w:rsid w:val="796727BD"/>
    <w:rsid w:val="79757554"/>
    <w:rsid w:val="7A033B5D"/>
    <w:rsid w:val="7A0C1474"/>
    <w:rsid w:val="7A866F8B"/>
    <w:rsid w:val="7A955338"/>
    <w:rsid w:val="7ADD0951"/>
    <w:rsid w:val="7AFDA6B0"/>
    <w:rsid w:val="7B0B04FF"/>
    <w:rsid w:val="7B923ED1"/>
    <w:rsid w:val="7B9F19AB"/>
    <w:rsid w:val="7B9FC495"/>
    <w:rsid w:val="7BA059F4"/>
    <w:rsid w:val="7BC77B74"/>
    <w:rsid w:val="7BE04D7A"/>
    <w:rsid w:val="7BF2F09F"/>
    <w:rsid w:val="7BFA5853"/>
    <w:rsid w:val="7C3031DA"/>
    <w:rsid w:val="7C474FFA"/>
    <w:rsid w:val="7C9F75A9"/>
    <w:rsid w:val="7CE142A1"/>
    <w:rsid w:val="7D5176F5"/>
    <w:rsid w:val="7D8225D6"/>
    <w:rsid w:val="7DAB5191"/>
    <w:rsid w:val="7DED8D51"/>
    <w:rsid w:val="7DF3BD78"/>
    <w:rsid w:val="7DFBE928"/>
    <w:rsid w:val="7DFFDFD6"/>
    <w:rsid w:val="7E1C1010"/>
    <w:rsid w:val="7E903BB1"/>
    <w:rsid w:val="7EFA5164"/>
    <w:rsid w:val="7EFBD8E7"/>
    <w:rsid w:val="7EFF59A5"/>
    <w:rsid w:val="7F111831"/>
    <w:rsid w:val="7F285186"/>
    <w:rsid w:val="7F2B6DDF"/>
    <w:rsid w:val="7F5FE3E1"/>
    <w:rsid w:val="7F71D848"/>
    <w:rsid w:val="7F7F224B"/>
    <w:rsid w:val="7FAB1ACD"/>
    <w:rsid w:val="7FCFC30B"/>
    <w:rsid w:val="877FB651"/>
    <w:rsid w:val="8E7F4B87"/>
    <w:rsid w:val="8FBD13AC"/>
    <w:rsid w:val="9F77AFA9"/>
    <w:rsid w:val="9FD72479"/>
    <w:rsid w:val="AEB71725"/>
    <w:rsid w:val="B63FC833"/>
    <w:rsid w:val="B7DB3E47"/>
    <w:rsid w:val="B9C5E057"/>
    <w:rsid w:val="BA7FAE4E"/>
    <w:rsid w:val="BBFD5FB2"/>
    <w:rsid w:val="BD5C5227"/>
    <w:rsid w:val="BDFFE9E1"/>
    <w:rsid w:val="BE0BF633"/>
    <w:rsid w:val="BEAA52E3"/>
    <w:rsid w:val="BEFF63BF"/>
    <w:rsid w:val="BF2D0DC7"/>
    <w:rsid w:val="BF65CEC0"/>
    <w:rsid w:val="BF9EBF00"/>
    <w:rsid w:val="BFC287D5"/>
    <w:rsid w:val="BFDFB225"/>
    <w:rsid w:val="BFEF477E"/>
    <w:rsid w:val="BFFF0F13"/>
    <w:rsid w:val="C9F843B2"/>
    <w:rsid w:val="CBE7626F"/>
    <w:rsid w:val="CE9F4E50"/>
    <w:rsid w:val="CF559EA6"/>
    <w:rsid w:val="D57E1D41"/>
    <w:rsid w:val="D6F793C1"/>
    <w:rsid w:val="D9557C32"/>
    <w:rsid w:val="D99E4995"/>
    <w:rsid w:val="DA3FEC26"/>
    <w:rsid w:val="DCD5AC92"/>
    <w:rsid w:val="DDEFFD31"/>
    <w:rsid w:val="DF1325F4"/>
    <w:rsid w:val="DFBAFC47"/>
    <w:rsid w:val="DFDDA21A"/>
    <w:rsid w:val="DFFB54CB"/>
    <w:rsid w:val="DFFBFDA1"/>
    <w:rsid w:val="ECE74880"/>
    <w:rsid w:val="EDD35E29"/>
    <w:rsid w:val="EE7BCD32"/>
    <w:rsid w:val="EFDFDDFF"/>
    <w:rsid w:val="EFEDB352"/>
    <w:rsid w:val="EFF77A0F"/>
    <w:rsid w:val="F2FD4128"/>
    <w:rsid w:val="F5FDDB27"/>
    <w:rsid w:val="F77B392A"/>
    <w:rsid w:val="F7ADBEE0"/>
    <w:rsid w:val="F7EEC5B3"/>
    <w:rsid w:val="F7EF7350"/>
    <w:rsid w:val="F7FDD500"/>
    <w:rsid w:val="F99B75DF"/>
    <w:rsid w:val="FA5F757A"/>
    <w:rsid w:val="FBBF24B1"/>
    <w:rsid w:val="FBD73D71"/>
    <w:rsid w:val="FBFED7FE"/>
    <w:rsid w:val="FCBF509B"/>
    <w:rsid w:val="FCDF9F41"/>
    <w:rsid w:val="FDDF970F"/>
    <w:rsid w:val="FE457012"/>
    <w:rsid w:val="FE7114AA"/>
    <w:rsid w:val="FEDF9B53"/>
    <w:rsid w:val="FEF79C80"/>
    <w:rsid w:val="FF25DB23"/>
    <w:rsid w:val="FF3ABC59"/>
    <w:rsid w:val="FF6EADA7"/>
    <w:rsid w:val="FFF052FE"/>
    <w:rsid w:val="FFFF0709"/>
    <w:rsid w:val="FFFF3276"/>
    <w:rsid w:val="FFFF6BFA"/>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EB5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uiPriority="0" w:qFormat="1"/>
    <w:lsdException w:name="Date" w:semiHidden="1" w:unhideWhenUsed="1"/>
    <w:lsdException w:name="Body Text First Indent"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260" w:after="260" w:line="416" w:lineRule="auto"/>
      <w:outlineLvl w:val="2"/>
    </w:pPr>
    <w:rPr>
      <w:b/>
      <w:bCs/>
      <w:sz w:val="32"/>
      <w:szCs w:val="32"/>
    </w:rPr>
  </w:style>
  <w:style w:type="paragraph" w:styleId="4">
    <w:name w:val="heading 4"/>
    <w:basedOn w:val="a"/>
    <w:next w:val="a"/>
    <w:link w:val="40"/>
    <w:uiPriority w:val="9"/>
    <w:qFormat/>
    <w:pPr>
      <w:keepNext/>
      <w:keepLines/>
      <w:spacing w:before="280" w:after="290" w:line="376" w:lineRule="auto"/>
      <w:outlineLvl w:val="3"/>
    </w:pPr>
    <w:rPr>
      <w:rFonts w:ascii="Cambria" w:hAnsi="Cambria"/>
      <w:b/>
      <w:bCs/>
      <w:sz w:val="28"/>
      <w:szCs w:val="28"/>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spacing w:afterLines="50"/>
      <w:ind w:firstLine="420"/>
    </w:pPr>
  </w:style>
  <w:style w:type="paragraph" w:styleId="a4">
    <w:name w:val="Document Map"/>
    <w:basedOn w:val="a"/>
    <w:link w:val="a5"/>
    <w:uiPriority w:val="99"/>
    <w:unhideWhenUsed/>
    <w:qFormat/>
    <w:rPr>
      <w:rFonts w:ascii="宋体"/>
      <w:sz w:val="18"/>
      <w:szCs w:val="18"/>
    </w:rPr>
  </w:style>
  <w:style w:type="paragraph" w:styleId="a6">
    <w:name w:val="annotation text"/>
    <w:basedOn w:val="a"/>
    <w:link w:val="a7"/>
    <w:uiPriority w:val="99"/>
    <w:unhideWhenUsed/>
    <w:qFormat/>
    <w:pPr>
      <w:jc w:val="left"/>
    </w:pPr>
  </w:style>
  <w:style w:type="paragraph" w:styleId="a8">
    <w:name w:val="Salutation"/>
    <w:basedOn w:val="a"/>
    <w:next w:val="a"/>
    <w:link w:val="a9"/>
    <w:qFormat/>
    <w:rPr>
      <w:kern w:val="0"/>
      <w:sz w:val="24"/>
      <w:szCs w:val="20"/>
    </w:rPr>
  </w:style>
  <w:style w:type="paragraph" w:styleId="aa">
    <w:name w:val="Body Text"/>
    <w:basedOn w:val="a"/>
    <w:next w:val="a"/>
    <w:link w:val="ab"/>
    <w:uiPriority w:val="1"/>
    <w:qFormat/>
    <w:pPr>
      <w:jc w:val="left"/>
    </w:pPr>
    <w:rPr>
      <w:rFonts w:ascii="宋体" w:hAnsi="宋体" w:cs="宋体"/>
      <w:kern w:val="0"/>
      <w:sz w:val="24"/>
      <w:lang w:eastAsia="en-US"/>
    </w:rPr>
  </w:style>
  <w:style w:type="paragraph" w:styleId="TOC3">
    <w:name w:val="toc 3"/>
    <w:basedOn w:val="a"/>
    <w:next w:val="a"/>
    <w:uiPriority w:val="39"/>
    <w:unhideWhenUsed/>
    <w:qFormat/>
    <w:pPr>
      <w:ind w:leftChars="400" w:left="840"/>
    </w:pPr>
  </w:style>
  <w:style w:type="paragraph" w:styleId="ac">
    <w:name w:val="Balloon Text"/>
    <w:basedOn w:val="a"/>
    <w:link w:val="ad"/>
    <w:uiPriority w:val="99"/>
    <w:unhideWhenUsed/>
    <w:qFormat/>
    <w:rPr>
      <w:sz w:val="18"/>
      <w:szCs w:val="18"/>
    </w:rPr>
  </w:style>
  <w:style w:type="paragraph" w:styleId="ae">
    <w:name w:val="footer"/>
    <w:basedOn w:val="a"/>
    <w:link w:val="af"/>
    <w:uiPriority w:val="99"/>
    <w:unhideWhenUsed/>
    <w:qFormat/>
    <w:pPr>
      <w:tabs>
        <w:tab w:val="center" w:pos="4153"/>
        <w:tab w:val="right" w:pos="8306"/>
      </w:tabs>
      <w:snapToGrid w:val="0"/>
      <w:jc w:val="left"/>
    </w:pPr>
    <w:rPr>
      <w:kern w:val="0"/>
      <w:sz w:val="18"/>
      <w:szCs w:val="18"/>
    </w:rPr>
  </w:style>
  <w:style w:type="paragraph" w:styleId="af0">
    <w:name w:val="header"/>
    <w:basedOn w:val="a"/>
    <w:link w:val="af1"/>
    <w:uiPriority w:val="99"/>
    <w:unhideWhenUsed/>
    <w:qFormat/>
    <w:pPr>
      <w:pBdr>
        <w:bottom w:val="single" w:sz="6" w:space="1" w:color="auto"/>
      </w:pBdr>
      <w:tabs>
        <w:tab w:val="center" w:pos="4153"/>
        <w:tab w:val="right" w:pos="8306"/>
      </w:tabs>
      <w:snapToGrid w:val="0"/>
      <w:jc w:val="center"/>
    </w:pPr>
    <w:rPr>
      <w:kern w:val="0"/>
      <w:sz w:val="18"/>
      <w:szCs w:val="18"/>
    </w:rPr>
  </w:style>
  <w:style w:type="paragraph" w:styleId="TOC1">
    <w:name w:val="toc 1"/>
    <w:basedOn w:val="a"/>
    <w:next w:val="a"/>
    <w:uiPriority w:val="39"/>
    <w:unhideWhenUsed/>
    <w:qFormat/>
  </w:style>
  <w:style w:type="paragraph" w:styleId="TOC2">
    <w:name w:val="toc 2"/>
    <w:basedOn w:val="a"/>
    <w:next w:val="a"/>
    <w:uiPriority w:val="39"/>
    <w:qFormat/>
    <w:pPr>
      <w:tabs>
        <w:tab w:val="left" w:pos="1080"/>
        <w:tab w:val="right" w:leader="dot" w:pos="8302"/>
      </w:tabs>
      <w:spacing w:before="60" w:after="60" w:line="360" w:lineRule="auto"/>
      <w:ind w:leftChars="150" w:left="1080" w:hangingChars="360" w:hanging="720"/>
      <w:jc w:val="left"/>
    </w:pPr>
    <w:rPr>
      <w:rFonts w:ascii="Arial" w:hAnsi="Arial"/>
      <w:smallCaps/>
      <w:sz w:val="20"/>
      <w:szCs w:val="20"/>
    </w:rPr>
  </w:style>
  <w:style w:type="paragraph" w:styleId="af2">
    <w:name w:val="Normal (Web)"/>
    <w:basedOn w:val="a"/>
    <w:uiPriority w:val="99"/>
    <w:unhideWhenUsed/>
    <w:qFormat/>
    <w:pPr>
      <w:spacing w:beforeAutospacing="1" w:afterAutospacing="1"/>
      <w:jc w:val="left"/>
    </w:pPr>
    <w:rPr>
      <w:kern w:val="0"/>
      <w:sz w:val="24"/>
    </w:rPr>
  </w:style>
  <w:style w:type="paragraph" w:styleId="af3">
    <w:name w:val="annotation subject"/>
    <w:basedOn w:val="a6"/>
    <w:next w:val="a6"/>
    <w:link w:val="af4"/>
    <w:uiPriority w:val="99"/>
    <w:unhideWhenUsed/>
    <w:qFormat/>
    <w:rPr>
      <w:b/>
      <w:bCs/>
    </w:rPr>
  </w:style>
  <w:style w:type="paragraph" w:styleId="af5">
    <w:name w:val="Body Text First Indent"/>
    <w:basedOn w:val="aa"/>
    <w:link w:val="af6"/>
    <w:uiPriority w:val="99"/>
    <w:unhideWhenUsed/>
    <w:qFormat/>
    <w:pPr>
      <w:ind w:firstLineChars="100" w:firstLine="420"/>
    </w:pPr>
  </w:style>
  <w:style w:type="table" w:styleId="af7">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8">
    <w:name w:val="Emphasis"/>
    <w:basedOn w:val="a0"/>
    <w:uiPriority w:val="20"/>
    <w:qFormat/>
    <w:rPr>
      <w:i/>
      <w:iCs/>
    </w:rPr>
  </w:style>
  <w:style w:type="character" w:styleId="af9">
    <w:name w:val="Hyperlink"/>
    <w:basedOn w:val="a0"/>
    <w:uiPriority w:val="99"/>
    <w:unhideWhenUsed/>
    <w:qFormat/>
    <w:rPr>
      <w:color w:val="0000FF"/>
      <w:u w:val="single"/>
    </w:rPr>
  </w:style>
  <w:style w:type="character" w:styleId="afa">
    <w:name w:val="annotation reference"/>
    <w:basedOn w:val="a0"/>
    <w:uiPriority w:val="99"/>
    <w:unhideWhenUsed/>
    <w:qFormat/>
    <w:rPr>
      <w:sz w:val="21"/>
      <w:szCs w:val="21"/>
    </w:rPr>
  </w:style>
  <w:style w:type="character" w:customStyle="1" w:styleId="10">
    <w:name w:val="标题 1 字符"/>
    <w:link w:val="1"/>
    <w:uiPriority w:val="9"/>
    <w:qFormat/>
    <w:rPr>
      <w:rFonts w:ascii="Times New Roman" w:eastAsia="宋体" w:hAnsi="Times New Roman" w:cs="Times New Roman"/>
      <w:b/>
      <w:bCs/>
      <w:kern w:val="44"/>
      <w:sz w:val="44"/>
      <w:szCs w:val="44"/>
    </w:rPr>
  </w:style>
  <w:style w:type="paragraph" w:customStyle="1" w:styleId="-11">
    <w:name w:val="彩色列表 - 强调文字颜色 11"/>
    <w:basedOn w:val="a"/>
    <w:uiPriority w:val="34"/>
    <w:qFormat/>
    <w:pPr>
      <w:ind w:firstLineChars="200" w:firstLine="420"/>
    </w:pPr>
    <w:rPr>
      <w:rFonts w:ascii="Calibri" w:hAnsi="Calibri"/>
      <w:szCs w:val="22"/>
    </w:rPr>
  </w:style>
  <w:style w:type="character" w:customStyle="1" w:styleId="af1">
    <w:name w:val="页眉 字符"/>
    <w:link w:val="af0"/>
    <w:uiPriority w:val="99"/>
    <w:qFormat/>
    <w:rPr>
      <w:rFonts w:ascii="Times New Roman" w:eastAsia="宋体" w:hAnsi="Times New Roman" w:cs="Times New Roman"/>
      <w:sz w:val="18"/>
      <w:szCs w:val="18"/>
    </w:rPr>
  </w:style>
  <w:style w:type="character" w:customStyle="1" w:styleId="af">
    <w:name w:val="页脚 字符"/>
    <w:link w:val="ae"/>
    <w:uiPriority w:val="99"/>
    <w:qFormat/>
    <w:rPr>
      <w:rFonts w:ascii="Times New Roman" w:eastAsia="宋体" w:hAnsi="Times New Roman" w:cs="Times New Roman"/>
      <w:sz w:val="18"/>
      <w:szCs w:val="18"/>
    </w:rPr>
  </w:style>
  <w:style w:type="character" w:customStyle="1" w:styleId="a9">
    <w:name w:val="称呼 字符"/>
    <w:link w:val="a8"/>
    <w:qFormat/>
    <w:rPr>
      <w:rFonts w:ascii="Times New Roman" w:eastAsia="宋体" w:hAnsi="Times New Roman" w:cs="Times New Roman"/>
      <w:sz w:val="24"/>
      <w:szCs w:val="20"/>
    </w:rPr>
  </w:style>
  <w:style w:type="character" w:customStyle="1" w:styleId="40">
    <w:name w:val="标题 4 字符"/>
    <w:link w:val="4"/>
    <w:uiPriority w:val="9"/>
    <w:semiHidden/>
    <w:qFormat/>
    <w:rPr>
      <w:rFonts w:ascii="Cambria" w:eastAsia="宋体" w:hAnsi="Cambria" w:cs="Times New Roman"/>
      <w:b/>
      <w:bCs/>
      <w:kern w:val="2"/>
      <w:sz w:val="28"/>
      <w:szCs w:val="28"/>
    </w:rPr>
  </w:style>
  <w:style w:type="paragraph" w:customStyle="1" w:styleId="Char">
    <w:name w:val="Char"/>
    <w:basedOn w:val="a"/>
    <w:qFormat/>
    <w:pPr>
      <w:widowControl/>
      <w:spacing w:after="160" w:line="240" w:lineRule="exact"/>
      <w:jc w:val="left"/>
    </w:pPr>
    <w:rPr>
      <w:rFonts w:ascii="Verdana" w:hAnsi="Verdana"/>
      <w:kern w:val="0"/>
      <w:sz w:val="20"/>
      <w:szCs w:val="20"/>
      <w:lang w:eastAsia="en-US"/>
    </w:rPr>
  </w:style>
  <w:style w:type="character" w:customStyle="1" w:styleId="jc">
    <w:name w:val="jc"/>
    <w:basedOn w:val="a0"/>
    <w:qFormat/>
  </w:style>
  <w:style w:type="character" w:customStyle="1" w:styleId="a5">
    <w:name w:val="文档结构图 字符"/>
    <w:link w:val="a4"/>
    <w:uiPriority w:val="99"/>
    <w:semiHidden/>
    <w:qFormat/>
    <w:rPr>
      <w:rFonts w:ascii="宋体" w:hAnsi="Times New Roman"/>
      <w:kern w:val="2"/>
      <w:sz w:val="18"/>
      <w:szCs w:val="18"/>
    </w:rPr>
  </w:style>
  <w:style w:type="paragraph" w:customStyle="1" w:styleId="11">
    <w:name w:val="列出段落1"/>
    <w:basedOn w:val="a"/>
    <w:uiPriority w:val="34"/>
    <w:qFormat/>
    <w:pPr>
      <w:ind w:firstLineChars="200" w:firstLine="420"/>
    </w:pPr>
  </w:style>
  <w:style w:type="character" w:customStyle="1" w:styleId="font71">
    <w:name w:val="font71"/>
    <w:basedOn w:val="a0"/>
    <w:qFormat/>
    <w:rPr>
      <w:rFonts w:ascii="宋体" w:eastAsia="宋体" w:hAnsi="宋体" w:cs="宋体" w:hint="eastAsia"/>
      <w:color w:val="000000"/>
      <w:sz w:val="18"/>
      <w:szCs w:val="18"/>
      <w:u w:val="none"/>
    </w:rPr>
  </w:style>
  <w:style w:type="character" w:customStyle="1" w:styleId="font41">
    <w:name w:val="font41"/>
    <w:basedOn w:val="a0"/>
    <w:qFormat/>
    <w:rPr>
      <w:rFonts w:ascii="宋体" w:eastAsia="宋体" w:hAnsi="宋体" w:cs="宋体" w:hint="eastAsia"/>
      <w:color w:val="000000"/>
      <w:sz w:val="18"/>
      <w:szCs w:val="18"/>
      <w:u w:val="none"/>
    </w:rPr>
  </w:style>
  <w:style w:type="character" w:customStyle="1" w:styleId="ab">
    <w:name w:val="正文文本 字符"/>
    <w:basedOn w:val="a0"/>
    <w:link w:val="aa"/>
    <w:uiPriority w:val="1"/>
    <w:qFormat/>
    <w:rPr>
      <w:rFonts w:ascii="宋体" w:hAnsi="宋体" w:cs="宋体"/>
      <w:sz w:val="24"/>
      <w:szCs w:val="24"/>
      <w:lang w:eastAsia="en-US"/>
    </w:rPr>
  </w:style>
  <w:style w:type="paragraph" w:customStyle="1" w:styleId="12">
    <w:name w:val="列表段落1"/>
    <w:basedOn w:val="a"/>
    <w:link w:val="afb"/>
    <w:uiPriority w:val="34"/>
    <w:qFormat/>
    <w:pPr>
      <w:ind w:firstLineChars="200" w:firstLine="420"/>
    </w:pPr>
  </w:style>
  <w:style w:type="paragraph" w:customStyle="1" w:styleId="21">
    <w:name w:val="列出段落2"/>
    <w:basedOn w:val="a"/>
    <w:uiPriority w:val="99"/>
    <w:qFormat/>
    <w:pPr>
      <w:ind w:firstLineChars="200" w:firstLine="420"/>
    </w:pPr>
  </w:style>
  <w:style w:type="character" w:customStyle="1" w:styleId="a7">
    <w:name w:val="批注文字 字符"/>
    <w:basedOn w:val="a0"/>
    <w:link w:val="a6"/>
    <w:uiPriority w:val="99"/>
    <w:semiHidden/>
    <w:qFormat/>
    <w:rPr>
      <w:kern w:val="2"/>
      <w:sz w:val="21"/>
      <w:szCs w:val="24"/>
    </w:rPr>
  </w:style>
  <w:style w:type="character" w:customStyle="1" w:styleId="af4">
    <w:name w:val="批注主题 字符"/>
    <w:basedOn w:val="a7"/>
    <w:link w:val="af3"/>
    <w:uiPriority w:val="99"/>
    <w:semiHidden/>
    <w:qFormat/>
    <w:rPr>
      <w:b/>
      <w:bCs/>
      <w:kern w:val="2"/>
      <w:sz w:val="21"/>
      <w:szCs w:val="24"/>
    </w:rPr>
  </w:style>
  <w:style w:type="character" w:customStyle="1" w:styleId="ad">
    <w:name w:val="批注框文本 字符"/>
    <w:basedOn w:val="a0"/>
    <w:link w:val="ac"/>
    <w:uiPriority w:val="99"/>
    <w:semiHidden/>
    <w:qFormat/>
    <w:rPr>
      <w:kern w:val="2"/>
      <w:sz w:val="18"/>
      <w:szCs w:val="18"/>
    </w:rPr>
  </w:style>
  <w:style w:type="character" w:customStyle="1" w:styleId="afb">
    <w:name w:val="列表段落 字符"/>
    <w:link w:val="12"/>
    <w:uiPriority w:val="34"/>
    <w:qFormat/>
    <w:locked/>
    <w:rPr>
      <w:kern w:val="2"/>
      <w:sz w:val="21"/>
      <w:szCs w:val="24"/>
    </w:rPr>
  </w:style>
  <w:style w:type="character" w:customStyle="1" w:styleId="20">
    <w:name w:val="标题 2 字符"/>
    <w:link w:val="2"/>
    <w:uiPriority w:val="9"/>
    <w:qFormat/>
    <w:rPr>
      <w:rFonts w:asciiTheme="majorHAnsi" w:eastAsiaTheme="majorEastAsia" w:hAnsiTheme="majorHAnsi" w:cstheme="majorBidi"/>
      <w:b/>
      <w:bCs/>
      <w:kern w:val="2"/>
      <w:sz w:val="32"/>
      <w:szCs w:val="32"/>
    </w:rPr>
  </w:style>
  <w:style w:type="paragraph" w:customStyle="1" w:styleId="110">
    <w:name w:val="列表段落11"/>
    <w:basedOn w:val="a"/>
    <w:link w:val="afc"/>
    <w:uiPriority w:val="34"/>
    <w:qFormat/>
    <w:pPr>
      <w:ind w:firstLineChars="200" w:firstLine="420"/>
    </w:pPr>
  </w:style>
  <w:style w:type="character" w:customStyle="1" w:styleId="af6">
    <w:name w:val="正文文本首行缩进 字符"/>
    <w:basedOn w:val="ab"/>
    <w:link w:val="af5"/>
    <w:uiPriority w:val="99"/>
    <w:qFormat/>
    <w:rPr>
      <w:rFonts w:ascii="宋体" w:hAnsi="宋体" w:cs="宋体"/>
      <w:sz w:val="24"/>
      <w:szCs w:val="24"/>
      <w:lang w:eastAsia="en-US"/>
    </w:rPr>
  </w:style>
  <w:style w:type="character" w:customStyle="1" w:styleId="afc">
    <w:name w:val="列出段落 字符"/>
    <w:link w:val="110"/>
    <w:uiPriority w:val="34"/>
    <w:qFormat/>
    <w:locked/>
    <w:rPr>
      <w:kern w:val="2"/>
      <w:sz w:val="21"/>
      <w:szCs w:val="24"/>
    </w:rPr>
  </w:style>
  <w:style w:type="paragraph" w:styleId="afd">
    <w:name w:val="List Paragraph"/>
    <w:basedOn w:val="a"/>
    <w:uiPriority w:val="99"/>
    <w:qFormat/>
    <w:pPr>
      <w:ind w:firstLineChars="200" w:firstLine="420"/>
    </w:pPr>
  </w:style>
  <w:style w:type="character" w:customStyle="1" w:styleId="30">
    <w:name w:val="标题 3 字符"/>
    <w:basedOn w:val="a0"/>
    <w:link w:val="3"/>
    <w:uiPriority w:val="9"/>
    <w:qFormat/>
    <w:rPr>
      <w:b/>
      <w:bCs/>
      <w:kern w:val="2"/>
      <w:sz w:val="32"/>
      <w:szCs w:val="32"/>
    </w:rPr>
  </w:style>
  <w:style w:type="paragraph" w:customStyle="1" w:styleId="TOC10">
    <w:name w:val="TOC 标题1"/>
    <w:basedOn w:val="1"/>
    <w:next w:val="a"/>
    <w:uiPriority w:val="39"/>
    <w:unhideWhenUsed/>
    <w:qFormat/>
    <w:pPr>
      <w:widowControl/>
      <w:spacing w:before="240" w:after="0" w:line="259" w:lineRule="auto"/>
      <w:jc w:val="left"/>
      <w:outlineLvl w:val="9"/>
    </w:pPr>
    <w:rPr>
      <w:rFonts w:asciiTheme="majorHAnsi" w:eastAsiaTheme="majorEastAsia" w:hAnsiTheme="majorHAnsi" w:cstheme="majorBidi"/>
      <w:b w:val="0"/>
      <w:bCs w:val="0"/>
      <w:color w:val="365F91" w:themeColor="accent1" w:themeShade="BF"/>
      <w:kern w:val="0"/>
      <w:sz w:val="32"/>
      <w:szCs w:val="32"/>
    </w:rPr>
  </w:style>
  <w:style w:type="paragraph" w:customStyle="1" w:styleId="13">
    <w:name w:val="修订1"/>
    <w:hidden/>
    <w:uiPriority w:val="99"/>
    <w:unhideWhenUsed/>
    <w:qFormat/>
    <w:rPr>
      <w:kern w:val="2"/>
      <w:sz w:val="21"/>
      <w:szCs w:val="24"/>
    </w:rPr>
  </w:style>
  <w:style w:type="paragraph" w:customStyle="1" w:styleId="22">
    <w:name w:val="修订2"/>
    <w:hidden/>
    <w:uiPriority w:val="99"/>
    <w:unhideWhenUsed/>
    <w:qFormat/>
    <w:rPr>
      <w:kern w:val="2"/>
      <w:sz w:val="21"/>
      <w:szCs w:val="24"/>
    </w:rPr>
  </w:style>
  <w:style w:type="character" w:customStyle="1" w:styleId="50">
    <w:name w:val="标题 5 字符"/>
    <w:basedOn w:val="a0"/>
    <w:link w:val="5"/>
    <w:uiPriority w:val="9"/>
    <w:semiHidden/>
    <w:qFormat/>
    <w:rPr>
      <w:b/>
      <w:bCs/>
      <w:kern w:val="2"/>
      <w:sz w:val="28"/>
      <w:szCs w:val="28"/>
    </w:rPr>
  </w:style>
  <w:style w:type="paragraph" w:customStyle="1" w:styleId="31">
    <w:name w:val="修订3"/>
    <w:hidden/>
    <w:uiPriority w:val="99"/>
    <w:unhideWhenUsed/>
    <w:qFormat/>
    <w:rPr>
      <w:kern w:val="2"/>
      <w:sz w:val="21"/>
      <w:szCs w:val="24"/>
    </w:rPr>
  </w:style>
  <w:style w:type="paragraph" w:customStyle="1" w:styleId="41">
    <w:name w:val="修订4"/>
    <w:hidden/>
    <w:uiPriority w:val="99"/>
    <w:unhideWhenUsed/>
    <w:qFormat/>
    <w:rPr>
      <w:kern w:val="2"/>
      <w:sz w:val="21"/>
      <w:szCs w:val="24"/>
    </w:rPr>
  </w:style>
  <w:style w:type="paragraph" w:customStyle="1" w:styleId="51">
    <w:name w:val="修订5"/>
    <w:hidden/>
    <w:uiPriority w:val="99"/>
    <w:unhideWhenUsed/>
    <w:qFormat/>
    <w:rPr>
      <w:kern w:val="2"/>
      <w:sz w:val="21"/>
      <w:szCs w:val="24"/>
    </w:rPr>
  </w:style>
  <w:style w:type="paragraph" w:customStyle="1" w:styleId="6">
    <w:name w:val="修订6"/>
    <w:hidden/>
    <w:uiPriority w:val="99"/>
    <w:unhideWhenUsed/>
    <w:qFormat/>
    <w:rPr>
      <w:kern w:val="2"/>
      <w:sz w:val="21"/>
      <w:szCs w:val="24"/>
    </w:rPr>
  </w:style>
  <w:style w:type="paragraph" w:customStyle="1" w:styleId="7">
    <w:name w:val="修订7"/>
    <w:hidden/>
    <w:uiPriority w:val="99"/>
    <w:unhideWhenUsed/>
    <w:qFormat/>
    <w:rPr>
      <w:kern w:val="2"/>
      <w:sz w:val="21"/>
      <w:szCs w:val="24"/>
    </w:rPr>
  </w:style>
  <w:style w:type="paragraph" w:styleId="afe">
    <w:name w:val="Revision"/>
    <w:hidden/>
    <w:uiPriority w:val="99"/>
    <w:unhideWhenUsed/>
    <w:rsid w:val="002272CF"/>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1577</Words>
  <Characters>8993</Characters>
  <Application>Microsoft Office Word</Application>
  <DocSecurity>0</DocSecurity>
  <Lines>74</Lines>
  <Paragraphs>21</Paragraphs>
  <ScaleCrop>false</ScaleCrop>
  <LinksUpToDate>false</LinksUpToDate>
  <CharactersWithSpaces>10549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2026-06-25T02:04:00Z</dcterms:created>
  <dcterms:modified xsi:type="dcterms:W3CDTF">2026-07-14T02:23:00Z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eyJoZGlkIjoiZGM2MDczYzIzZTU3NzM0MjlkZDBmZmFiMzkzMTIzNjAiLCJ1c2VySWQiOiIxNDA5MDU4NjM5In0=</vt:lpwstr>
  </property>
  <property fmtid="{D5CDD505-2E9C-101B-9397-08002B2CF9AE}" pid="3" name="KSOProductBuildVer">
    <vt:lpwstr>2052-12.8.2.19315</vt:lpwstr>
  </property>
  <property fmtid="{D5CDD505-2E9C-101B-9397-08002B2CF9AE}" pid="4" name="ICV">
    <vt:lpwstr>6617A71BC2C74CD2922100C5AF271EE4_13</vt:lpwstr>
  </property>
</Properties>
</file>