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43B6D">
      <w:pPr>
        <w:spacing w:line="360" w:lineRule="auto"/>
        <w:rPr>
          <w:rFonts w:hint="eastAsia"/>
          <w:color w:val="auto"/>
        </w:rPr>
      </w:pPr>
    </w:p>
    <w:p w14:paraId="7A3512E6">
      <w:pPr>
        <w:spacing w:line="360" w:lineRule="auto"/>
        <w:rPr>
          <w:rFonts w:hint="eastAsia"/>
          <w:color w:val="auto"/>
        </w:rPr>
      </w:pPr>
    </w:p>
    <w:p w14:paraId="1ED12272">
      <w:pPr>
        <w:spacing w:line="360" w:lineRule="auto"/>
        <w:rPr>
          <w:rFonts w:hint="eastAsia"/>
          <w:color w:val="auto"/>
        </w:rPr>
      </w:pPr>
    </w:p>
    <w:p w14:paraId="4BFEC657">
      <w:pPr>
        <w:spacing w:line="360" w:lineRule="auto"/>
        <w:rPr>
          <w:rFonts w:hint="eastAsia"/>
          <w:color w:val="auto"/>
        </w:rPr>
      </w:pPr>
    </w:p>
    <w:p w14:paraId="6FF4E62B">
      <w:pPr>
        <w:spacing w:line="360" w:lineRule="auto"/>
        <w:jc w:val="center"/>
        <w:rPr>
          <w:rFonts w:hint="eastAsia" w:ascii="黑体" w:hAnsi="黑体" w:eastAsia="黑体"/>
          <w:color w:val="auto"/>
          <w:sz w:val="56"/>
        </w:rPr>
      </w:pPr>
      <w:r>
        <w:rPr>
          <w:rFonts w:hint="eastAsia" w:ascii="黑体" w:hAnsi="黑体" w:eastAsia="黑体"/>
          <w:color w:val="auto"/>
          <w:sz w:val="56"/>
        </w:rPr>
        <w:t>设备</w:t>
      </w:r>
      <w:r>
        <w:rPr>
          <w:rFonts w:ascii="黑体" w:hAnsi="黑体" w:eastAsia="黑体"/>
          <w:color w:val="auto"/>
          <w:sz w:val="56"/>
        </w:rPr>
        <w:t>采购合同</w:t>
      </w:r>
    </w:p>
    <w:p w14:paraId="0B7CB937">
      <w:pPr>
        <w:spacing w:line="360" w:lineRule="auto"/>
        <w:jc w:val="center"/>
        <w:rPr>
          <w:rFonts w:hint="eastAsia" w:ascii="黑体" w:hAnsi="黑体" w:eastAsia="黑体"/>
          <w:color w:val="auto"/>
          <w:sz w:val="56"/>
        </w:rPr>
      </w:pPr>
    </w:p>
    <w:p w14:paraId="1CA0D41A">
      <w:pPr>
        <w:spacing w:line="360" w:lineRule="auto"/>
        <w:jc w:val="center"/>
        <w:rPr>
          <w:rFonts w:hint="eastAsia" w:ascii="黑体" w:hAnsi="黑体" w:eastAsia="黑体"/>
          <w:color w:val="auto"/>
          <w:sz w:val="56"/>
        </w:rPr>
      </w:pPr>
    </w:p>
    <w:p w14:paraId="11C37F62">
      <w:pPr>
        <w:spacing w:line="360" w:lineRule="auto"/>
        <w:jc w:val="center"/>
        <w:rPr>
          <w:rFonts w:hint="eastAsia" w:ascii="黑体" w:hAnsi="黑体" w:eastAsia="黑体"/>
          <w:color w:val="auto"/>
          <w:sz w:val="56"/>
        </w:rPr>
      </w:pPr>
    </w:p>
    <w:p w14:paraId="60318659">
      <w:pPr>
        <w:spacing w:line="360" w:lineRule="auto"/>
        <w:jc w:val="center"/>
        <w:rPr>
          <w:rFonts w:hint="eastAsia" w:ascii="黑体" w:hAnsi="黑体" w:eastAsia="黑体"/>
          <w:color w:val="auto"/>
          <w:sz w:val="56"/>
        </w:rPr>
      </w:pPr>
    </w:p>
    <w:p w14:paraId="2C63C94A">
      <w:pPr>
        <w:spacing w:line="360" w:lineRule="auto"/>
        <w:jc w:val="center"/>
        <w:rPr>
          <w:rFonts w:hint="eastAsia" w:ascii="黑体" w:hAnsi="黑体" w:eastAsia="黑体"/>
          <w:color w:val="auto"/>
          <w:sz w:val="56"/>
        </w:rPr>
      </w:pPr>
    </w:p>
    <w:p w14:paraId="7E063F69">
      <w:pPr>
        <w:spacing w:line="360" w:lineRule="auto"/>
        <w:jc w:val="center"/>
        <w:rPr>
          <w:rFonts w:hint="eastAsia" w:ascii="黑体" w:hAnsi="黑体" w:eastAsia="黑体"/>
          <w:color w:val="auto"/>
          <w:sz w:val="56"/>
        </w:rPr>
      </w:pPr>
    </w:p>
    <w:p w14:paraId="00783105">
      <w:pPr>
        <w:spacing w:line="360" w:lineRule="auto"/>
        <w:jc w:val="center"/>
        <w:rPr>
          <w:rFonts w:hint="eastAsia" w:ascii="黑体" w:hAnsi="黑体" w:eastAsia="黑体"/>
          <w:color w:val="auto"/>
          <w:sz w:val="56"/>
        </w:rPr>
      </w:pPr>
      <w:bookmarkStart w:id="0" w:name="_GoBack"/>
      <w:bookmarkEnd w:id="0"/>
    </w:p>
    <w:p w14:paraId="27BACB3F">
      <w:pPr>
        <w:spacing w:line="360" w:lineRule="auto"/>
        <w:jc w:val="center"/>
        <w:rPr>
          <w:rFonts w:hint="eastAsia" w:ascii="微软雅黑" w:hAnsi="微软雅黑" w:eastAsia="微软雅黑"/>
          <w:color w:val="auto"/>
          <w:sz w:val="36"/>
          <w:szCs w:val="36"/>
          <w:lang w:eastAsia="zh-CN"/>
        </w:rPr>
      </w:pPr>
      <w:r>
        <w:rPr>
          <w:rFonts w:hint="eastAsia" w:ascii="微软雅黑" w:hAnsi="微软雅黑" w:eastAsia="微软雅黑"/>
          <w:color w:val="auto"/>
          <w:sz w:val="36"/>
          <w:szCs w:val="36"/>
          <w:lang w:eastAsia="zh-CN"/>
        </w:rPr>
        <w:t>贵州联广科技股份有限公司北京分公司</w:t>
      </w:r>
    </w:p>
    <w:p w14:paraId="2AE31363">
      <w:pPr>
        <w:spacing w:line="360" w:lineRule="auto"/>
        <w:jc w:val="center"/>
        <w:rPr>
          <w:rFonts w:hint="eastAsia" w:ascii="微软雅黑" w:hAnsi="微软雅黑" w:eastAsia="微软雅黑"/>
          <w:color w:val="auto"/>
          <w:sz w:val="32"/>
        </w:rPr>
      </w:pPr>
      <w:r>
        <w:rPr>
          <w:rFonts w:hint="eastAsia" w:ascii="微软雅黑" w:hAnsi="微软雅黑" w:eastAsia="微软雅黑"/>
          <w:color w:val="auto"/>
          <w:sz w:val="32"/>
        </w:rPr>
        <w:t>二〇二六年</w:t>
      </w:r>
    </w:p>
    <w:p w14:paraId="3B874C89">
      <w:pPr>
        <w:spacing w:line="360" w:lineRule="auto"/>
        <w:jc w:val="center"/>
        <w:rPr>
          <w:rFonts w:hint="eastAsia" w:ascii="微软雅黑" w:hAnsi="微软雅黑" w:eastAsia="微软雅黑"/>
          <w:color w:val="auto"/>
          <w:sz w:val="32"/>
        </w:rPr>
      </w:pPr>
    </w:p>
    <w:p w14:paraId="320F692A">
      <w:pPr>
        <w:spacing w:line="360" w:lineRule="auto"/>
        <w:jc w:val="center"/>
        <w:rPr>
          <w:rFonts w:hint="eastAsia" w:ascii="微软雅黑" w:hAnsi="微软雅黑" w:eastAsia="微软雅黑"/>
          <w:color w:val="auto"/>
          <w:sz w:val="32"/>
        </w:rPr>
      </w:pPr>
    </w:p>
    <w:p w14:paraId="1C461EAA">
      <w:pPr>
        <w:spacing w:line="360" w:lineRule="auto"/>
        <w:jc w:val="center"/>
        <w:rPr>
          <w:rFonts w:hint="eastAsia" w:ascii="微软雅黑" w:hAnsi="微软雅黑" w:eastAsia="微软雅黑"/>
          <w:color w:val="auto"/>
          <w:sz w:val="32"/>
        </w:rPr>
      </w:pPr>
    </w:p>
    <w:p w14:paraId="7FA2F61F">
      <w:pPr>
        <w:spacing w:line="360" w:lineRule="auto"/>
        <w:jc w:val="center"/>
        <w:rPr>
          <w:rFonts w:hint="eastAsia" w:ascii="宋体" w:hAnsi="宋体" w:eastAsia="宋体"/>
          <w:color w:val="auto"/>
          <w:sz w:val="32"/>
        </w:rPr>
      </w:pPr>
    </w:p>
    <w:p w14:paraId="5E0A0BC2">
      <w:pPr>
        <w:spacing w:line="360" w:lineRule="auto"/>
        <w:jc w:val="center"/>
        <w:rPr>
          <w:rFonts w:hint="eastAsia" w:ascii="宋体" w:hAnsi="宋体" w:eastAsia="宋体"/>
          <w:b/>
          <w:color w:val="auto"/>
          <w:sz w:val="44"/>
          <w:szCs w:val="44"/>
        </w:rPr>
      </w:pPr>
      <w:r>
        <w:rPr>
          <w:rFonts w:hint="eastAsia" w:ascii="宋体" w:hAnsi="宋体" w:eastAsia="宋体"/>
          <w:b/>
          <w:color w:val="auto"/>
          <w:sz w:val="44"/>
          <w:szCs w:val="44"/>
        </w:rPr>
        <w:t>设备采购合同</w:t>
      </w:r>
    </w:p>
    <w:p w14:paraId="6B740365">
      <w:pPr>
        <w:spacing w:line="360" w:lineRule="auto"/>
        <w:ind w:right="640"/>
        <w:jc w:val="right"/>
        <w:rPr>
          <w:rFonts w:hint="eastAsia" w:ascii="宋体" w:hAnsi="宋体" w:eastAsia="宋体"/>
          <w:color w:val="auto"/>
          <w:sz w:val="24"/>
          <w:szCs w:val="24"/>
        </w:rPr>
      </w:pPr>
      <w:r>
        <w:rPr>
          <w:rFonts w:hint="eastAsia" w:ascii="宋体" w:hAnsi="宋体"/>
          <w:color w:val="auto"/>
          <w:szCs w:val="21"/>
        </w:rPr>
        <w:t>合同签署地</w:t>
      </w:r>
      <w:r>
        <w:rPr>
          <w:rFonts w:ascii="宋体" w:hAnsi="宋体"/>
          <w:color w:val="auto"/>
          <w:szCs w:val="21"/>
        </w:rPr>
        <w:t>：</w:t>
      </w:r>
      <w:r>
        <w:rPr>
          <w:rFonts w:hint="eastAsia" w:ascii="宋体" w:hAnsi="宋体"/>
          <w:color w:val="auto"/>
          <w:szCs w:val="21"/>
        </w:rPr>
        <w:t>北京</w:t>
      </w:r>
    </w:p>
    <w:p w14:paraId="6C8C0711">
      <w:pPr>
        <w:spacing w:before="120" w:line="360" w:lineRule="auto"/>
        <w:rPr>
          <w:rFonts w:hint="eastAsia" w:ascii="宋体" w:hAnsi="宋体" w:eastAsia="宋体"/>
          <w:b/>
          <w:color w:val="auto"/>
          <w:szCs w:val="21"/>
        </w:rPr>
      </w:pPr>
      <w:r>
        <w:rPr>
          <w:rFonts w:hint="eastAsia" w:ascii="宋体" w:hAnsi="宋体" w:eastAsia="宋体"/>
          <w:b/>
          <w:color w:val="auto"/>
          <w:szCs w:val="21"/>
        </w:rPr>
        <w:t xml:space="preserve">甲  方： </w:t>
      </w:r>
      <w:sdt>
        <w:sdtPr>
          <w:rPr>
            <w:rFonts w:ascii="宋体" w:hAnsi="宋体" w:eastAsia="宋体"/>
            <w:b/>
            <w:color w:val="auto"/>
            <w:szCs w:val="21"/>
          </w:rPr>
          <w:alias w:val="公司"/>
          <w:id w:val="6335420"/>
          <w:placeholder>
            <w:docPart w:val="FC54368087D14E37B18870051DA26601"/>
          </w:placeholder>
          <w:text/>
        </w:sdtPr>
        <w:sdtEndPr>
          <w:rPr>
            <w:rFonts w:ascii="宋体" w:hAnsi="宋体" w:eastAsia="宋体"/>
            <w:b/>
            <w:color w:val="auto"/>
            <w:szCs w:val="21"/>
          </w:rPr>
        </w:sdtEndPr>
        <w:sdtContent>
          <w:r>
            <w:rPr>
              <w:rFonts w:hint="eastAsia" w:ascii="宋体" w:hAnsi="宋体" w:eastAsia="宋体"/>
              <w:b/>
              <w:color w:val="auto"/>
              <w:szCs w:val="21"/>
              <w:lang w:eastAsia="zh-CN"/>
            </w:rPr>
            <w:t>贵州联广科技股份有限公司北京分公司</w:t>
          </w:r>
        </w:sdtContent>
      </w:sdt>
    </w:p>
    <w:p w14:paraId="372A7573">
      <w:pPr>
        <w:spacing w:line="360" w:lineRule="auto"/>
        <w:ind w:right="600"/>
        <w:rPr>
          <w:rFonts w:hint="eastAsia" w:ascii="宋体" w:hAnsi="宋体" w:eastAsia="宋体"/>
          <w:b/>
          <w:color w:val="auto"/>
          <w:szCs w:val="21"/>
        </w:rPr>
      </w:pPr>
      <w:r>
        <w:rPr>
          <w:rFonts w:hint="eastAsia" w:ascii="宋体" w:hAnsi="宋体" w:eastAsia="宋体"/>
          <w:b/>
          <w:color w:val="auto"/>
          <w:szCs w:val="21"/>
        </w:rPr>
        <w:t xml:space="preserve">地  址： </w:t>
      </w:r>
    </w:p>
    <w:p w14:paraId="3B798124">
      <w:pPr>
        <w:spacing w:line="360" w:lineRule="auto"/>
        <w:ind w:right="600"/>
        <w:rPr>
          <w:rFonts w:hint="eastAsia" w:ascii="宋体" w:hAnsi="宋体" w:eastAsia="宋体"/>
          <w:b/>
          <w:color w:val="auto"/>
          <w:szCs w:val="21"/>
        </w:rPr>
      </w:pPr>
      <w:r>
        <w:rPr>
          <w:rFonts w:hint="eastAsia" w:ascii="宋体" w:hAnsi="宋体" w:eastAsia="宋体"/>
          <w:b/>
          <w:color w:val="auto"/>
          <w:szCs w:val="21"/>
        </w:rPr>
        <w:t xml:space="preserve">联系人： </w:t>
      </w:r>
    </w:p>
    <w:p w14:paraId="63A85C76">
      <w:pPr>
        <w:spacing w:line="360" w:lineRule="auto"/>
        <w:ind w:right="600"/>
        <w:rPr>
          <w:rFonts w:hint="eastAsia" w:ascii="宋体" w:hAnsi="宋体" w:eastAsia="宋体"/>
          <w:b/>
          <w:color w:val="auto"/>
          <w:szCs w:val="21"/>
        </w:rPr>
      </w:pPr>
      <w:r>
        <w:rPr>
          <w:rFonts w:hint="eastAsia" w:ascii="宋体" w:hAnsi="宋体" w:eastAsia="宋体"/>
          <w:b/>
          <w:color w:val="auto"/>
          <w:szCs w:val="21"/>
        </w:rPr>
        <w:t>电  话：</w:t>
      </w:r>
    </w:p>
    <w:p w14:paraId="5559A670">
      <w:pPr>
        <w:spacing w:line="360" w:lineRule="auto"/>
        <w:ind w:right="600"/>
        <w:rPr>
          <w:rFonts w:hint="eastAsia" w:ascii="宋体" w:hAnsi="宋体" w:eastAsia="宋体"/>
          <w:b/>
          <w:color w:val="auto"/>
          <w:szCs w:val="21"/>
        </w:rPr>
      </w:pPr>
      <w:r>
        <w:rPr>
          <w:rFonts w:hint="eastAsia" w:ascii="宋体" w:hAnsi="宋体" w:eastAsia="宋体"/>
          <w:b/>
          <w:color w:val="auto"/>
          <w:szCs w:val="21"/>
        </w:rPr>
        <w:t xml:space="preserve">邮  箱： </w:t>
      </w:r>
    </w:p>
    <w:p w14:paraId="4068C6D7">
      <w:pPr>
        <w:spacing w:before="120" w:line="360" w:lineRule="auto"/>
        <w:rPr>
          <w:rFonts w:hint="eastAsia" w:ascii="宋体" w:hAnsi="宋体" w:eastAsia="宋体"/>
          <w:b/>
          <w:color w:val="auto"/>
          <w:szCs w:val="21"/>
        </w:rPr>
      </w:pPr>
    </w:p>
    <w:p w14:paraId="40567752">
      <w:pPr>
        <w:widowControl/>
        <w:jc w:val="left"/>
        <w:rPr>
          <w:rFonts w:hint="eastAsia" w:ascii="宋体" w:hAnsi="宋体" w:eastAsia="宋体"/>
          <w:b/>
          <w:color w:val="auto"/>
          <w:szCs w:val="21"/>
        </w:rPr>
      </w:pPr>
      <w:r>
        <w:rPr>
          <w:rFonts w:hint="eastAsia" w:ascii="宋体" w:hAnsi="宋体" w:eastAsia="宋体"/>
          <w:b/>
          <w:color w:val="auto"/>
          <w:szCs w:val="21"/>
        </w:rPr>
        <w:t>乙  方：</w:t>
      </w:r>
    </w:p>
    <w:p w14:paraId="26ABF21F">
      <w:pPr>
        <w:spacing w:line="360" w:lineRule="auto"/>
        <w:rPr>
          <w:rFonts w:hint="eastAsia" w:ascii="宋体" w:hAnsi="宋体" w:eastAsia="宋体"/>
          <w:b/>
          <w:color w:val="auto"/>
          <w:szCs w:val="21"/>
        </w:rPr>
      </w:pPr>
      <w:r>
        <w:rPr>
          <w:rFonts w:hint="eastAsia" w:ascii="宋体" w:hAnsi="宋体" w:eastAsia="宋体"/>
          <w:b/>
          <w:color w:val="auto"/>
          <w:szCs w:val="21"/>
        </w:rPr>
        <w:t>地  址：</w:t>
      </w:r>
    </w:p>
    <w:p w14:paraId="696F6115">
      <w:pPr>
        <w:spacing w:line="360" w:lineRule="auto"/>
        <w:ind w:right="600"/>
        <w:rPr>
          <w:rFonts w:hint="eastAsia" w:ascii="宋体" w:hAnsi="宋体" w:eastAsia="宋体"/>
          <w:b/>
          <w:color w:val="auto"/>
          <w:szCs w:val="21"/>
        </w:rPr>
      </w:pPr>
      <w:r>
        <w:rPr>
          <w:rFonts w:hint="eastAsia" w:ascii="宋体" w:hAnsi="宋体" w:eastAsia="宋体"/>
          <w:b/>
          <w:color w:val="auto"/>
          <w:szCs w:val="21"/>
        </w:rPr>
        <w:t xml:space="preserve">联系人： </w:t>
      </w:r>
    </w:p>
    <w:p w14:paraId="2B9CEA24">
      <w:pPr>
        <w:spacing w:line="360" w:lineRule="auto"/>
        <w:ind w:right="600"/>
        <w:rPr>
          <w:rFonts w:hint="eastAsia" w:ascii="宋体" w:hAnsi="宋体" w:eastAsia="宋体"/>
          <w:b/>
          <w:color w:val="auto"/>
          <w:szCs w:val="21"/>
        </w:rPr>
      </w:pPr>
      <w:r>
        <w:rPr>
          <w:rFonts w:hint="eastAsia" w:ascii="宋体" w:hAnsi="宋体" w:eastAsia="宋体"/>
          <w:b/>
          <w:color w:val="auto"/>
          <w:szCs w:val="21"/>
        </w:rPr>
        <w:t>电  话：</w:t>
      </w:r>
    </w:p>
    <w:p w14:paraId="6B13E06D">
      <w:pPr>
        <w:spacing w:line="360" w:lineRule="auto"/>
        <w:ind w:right="640"/>
        <w:rPr>
          <w:rFonts w:hint="eastAsia" w:ascii="宋体" w:hAnsi="宋体" w:eastAsia="宋体"/>
          <w:b/>
          <w:color w:val="auto"/>
          <w:szCs w:val="21"/>
        </w:rPr>
      </w:pPr>
      <w:r>
        <w:rPr>
          <w:rFonts w:hint="eastAsia" w:ascii="宋体" w:hAnsi="宋体" w:eastAsia="宋体"/>
          <w:b/>
          <w:color w:val="auto"/>
          <w:szCs w:val="21"/>
        </w:rPr>
        <w:t xml:space="preserve">邮  箱： </w:t>
      </w:r>
    </w:p>
    <w:p w14:paraId="77959433">
      <w:pPr>
        <w:pStyle w:val="7"/>
        <w:rPr>
          <w:rFonts w:hint="eastAsia"/>
          <w:color w:val="auto"/>
        </w:rPr>
      </w:pPr>
    </w:p>
    <w:p w14:paraId="210F6E08">
      <w:pPr>
        <w:pStyle w:val="20"/>
        <w:spacing w:line="360" w:lineRule="auto"/>
        <w:ind w:firstLine="420" w:firstLineChars="200"/>
        <w:rPr>
          <w:rFonts w:hint="eastAsia" w:ascii="宋体" w:hAnsi="宋体"/>
          <w:color w:val="auto"/>
          <w:sz w:val="21"/>
          <w:szCs w:val="21"/>
        </w:rPr>
      </w:pPr>
      <w:r>
        <w:rPr>
          <w:rFonts w:hint="eastAsia" w:ascii="宋体" w:hAnsi="宋体"/>
          <w:color w:val="auto"/>
          <w:sz w:val="21"/>
          <w:szCs w:val="21"/>
        </w:rPr>
        <w:t xml:space="preserve">在遵守《中华人民共和国民法典》及相关法律的基础上，甲、乙双方经协商一致, 由甲方购进、乙方出售下列产品, </w:t>
      </w:r>
      <w:r>
        <w:rPr>
          <w:rFonts w:ascii="宋体" w:hAnsi="宋体"/>
          <w:color w:val="auto"/>
          <w:sz w:val="21"/>
          <w:szCs w:val="21"/>
        </w:rPr>
        <w:t>并提供</w:t>
      </w:r>
      <w:r>
        <w:rPr>
          <w:rFonts w:ascii="宋体" w:hAnsi="宋体"/>
          <w:b/>
          <w:bCs/>
          <w:color w:val="auto"/>
          <w:sz w:val="21"/>
          <w:szCs w:val="21"/>
        </w:rPr>
        <w:t>系统集成、方案设计、安装调试、试运行、技术服务及质保服务</w:t>
      </w:r>
      <w:r>
        <w:rPr>
          <w:rFonts w:hint="eastAsia" w:ascii="宋体" w:hAnsi="宋体"/>
          <w:b/>
          <w:bCs/>
          <w:color w:val="auto"/>
          <w:sz w:val="21"/>
          <w:szCs w:val="21"/>
        </w:rPr>
        <w:t>，</w:t>
      </w:r>
      <w:r>
        <w:rPr>
          <w:rFonts w:hint="eastAsia" w:ascii="宋体" w:hAnsi="宋体"/>
          <w:color w:val="auto"/>
          <w:sz w:val="21"/>
          <w:szCs w:val="21"/>
        </w:rPr>
        <w:t>双方同意按如下条款执行本合同，依据本合同制定的附件、补充协议等是本合同的有效组成部分，与本合同具有同等法律效力。</w:t>
      </w:r>
      <w:r>
        <w:rPr>
          <w:rFonts w:ascii="宋体" w:hAnsi="宋体"/>
          <w:color w:val="auto"/>
          <w:sz w:val="21"/>
          <w:szCs w:val="21"/>
        </w:rPr>
        <w:t xml:space="preserve"> </w:t>
      </w:r>
    </w:p>
    <w:p w14:paraId="38DCB492">
      <w:pPr>
        <w:numPr>
          <w:ilvl w:val="0"/>
          <w:numId w:val="1"/>
        </w:numPr>
        <w:spacing w:line="360" w:lineRule="auto"/>
        <w:ind w:right="-514"/>
        <w:rPr>
          <w:rFonts w:hint="eastAsia" w:ascii="宋体" w:hAnsi="宋体" w:eastAsia="宋体"/>
          <w:b/>
          <w:color w:val="auto"/>
          <w:spacing w:val="10"/>
          <w:szCs w:val="21"/>
        </w:rPr>
      </w:pPr>
      <w:r>
        <w:rPr>
          <w:rFonts w:hint="eastAsia" w:ascii="宋体" w:hAnsi="宋体" w:eastAsia="宋体"/>
          <w:b/>
          <w:color w:val="auto"/>
          <w:spacing w:val="10"/>
          <w:szCs w:val="21"/>
        </w:rPr>
        <w:t>项目内容与范围：</w:t>
      </w:r>
    </w:p>
    <w:p w14:paraId="16C0A462">
      <w:pPr>
        <w:numPr>
          <w:ilvl w:val="0"/>
          <w:numId w:val="0"/>
        </w:numPr>
        <w:tabs>
          <w:tab w:val="left" w:pos="720"/>
        </w:tabs>
        <w:spacing w:line="360" w:lineRule="auto"/>
        <w:ind w:left="0" w:right="-514" w:firstLine="0"/>
        <w:rPr>
          <w:rFonts w:hint="eastAsia" w:ascii="宋体" w:hAnsi="宋体" w:eastAsia="宋体"/>
          <w:b/>
          <w:color w:val="auto"/>
          <w:spacing w:val="10"/>
          <w:szCs w:val="21"/>
        </w:rPr>
      </w:pPr>
      <w:r>
        <w:rPr>
          <w:rFonts w:hint="eastAsia" w:ascii="宋体" w:hAnsi="宋体" w:eastAsia="宋体"/>
          <w:b/>
          <w:color w:val="auto"/>
          <w:spacing w:val="10"/>
          <w:szCs w:val="21"/>
        </w:rPr>
        <w:t>1.产品信息：</w:t>
      </w:r>
    </w:p>
    <w:tbl>
      <w:tblPr>
        <w:tblStyle w:val="12"/>
        <w:tblW w:w="502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1"/>
        <w:gridCol w:w="3706"/>
        <w:gridCol w:w="2137"/>
      </w:tblGrid>
      <w:tr w14:paraId="7ACF4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14:paraId="527CC09F">
            <w:pPr>
              <w:pStyle w:val="5"/>
              <w:spacing w:line="360" w:lineRule="auto"/>
              <w:jc w:val="center"/>
              <w:rPr>
                <w:rFonts w:cs="仿宋"/>
                <w:b/>
                <w:bCs/>
                <w:color w:val="auto"/>
                <w:szCs w:val="21"/>
              </w:rPr>
            </w:pPr>
            <w:r>
              <w:rPr>
                <w:rFonts w:hint="eastAsia" w:cs="仿宋"/>
                <w:b/>
                <w:bCs/>
                <w:color w:val="auto"/>
                <w:szCs w:val="21"/>
              </w:rPr>
              <w:t>合同内容</w:t>
            </w:r>
          </w:p>
        </w:tc>
        <w:tc>
          <w:tcPr>
            <w:tcW w:w="2114" w:type="pct"/>
            <w:vAlign w:val="center"/>
          </w:tcPr>
          <w:p w14:paraId="5AC90708">
            <w:pPr>
              <w:pStyle w:val="5"/>
              <w:spacing w:line="360" w:lineRule="auto"/>
              <w:jc w:val="center"/>
              <w:rPr>
                <w:rFonts w:cs="仿宋"/>
                <w:b/>
                <w:bCs/>
                <w:color w:val="auto"/>
                <w:szCs w:val="21"/>
              </w:rPr>
            </w:pPr>
            <w:r>
              <w:rPr>
                <w:rFonts w:hint="eastAsia" w:cs="仿宋"/>
                <w:b/>
                <w:bCs/>
                <w:color w:val="auto"/>
                <w:szCs w:val="21"/>
              </w:rPr>
              <w:t>合同价格</w:t>
            </w:r>
          </w:p>
        </w:tc>
        <w:tc>
          <w:tcPr>
            <w:tcW w:w="1219" w:type="pct"/>
            <w:vAlign w:val="center"/>
          </w:tcPr>
          <w:p w14:paraId="17652CC5">
            <w:pPr>
              <w:pStyle w:val="5"/>
              <w:spacing w:line="360" w:lineRule="auto"/>
              <w:jc w:val="center"/>
              <w:rPr>
                <w:rFonts w:cs="仿宋"/>
                <w:b/>
                <w:bCs/>
                <w:color w:val="auto"/>
                <w:szCs w:val="21"/>
              </w:rPr>
            </w:pPr>
            <w:r>
              <w:rPr>
                <w:rFonts w:hint="eastAsia" w:cs="仿宋"/>
                <w:b/>
                <w:bCs/>
                <w:color w:val="auto"/>
                <w:szCs w:val="21"/>
              </w:rPr>
              <w:t>备注</w:t>
            </w:r>
          </w:p>
        </w:tc>
      </w:tr>
      <w:tr w14:paraId="34B8B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1666" w:type="pct"/>
            <w:vAlign w:val="center"/>
          </w:tcPr>
          <w:p w14:paraId="037BAC69">
            <w:pPr>
              <w:pStyle w:val="5"/>
              <w:spacing w:line="360" w:lineRule="auto"/>
              <w:jc w:val="center"/>
              <w:rPr>
                <w:rFonts w:cs="仿宋"/>
                <w:b/>
                <w:bCs/>
                <w:color w:val="auto"/>
                <w:szCs w:val="21"/>
              </w:rPr>
            </w:pPr>
          </w:p>
        </w:tc>
        <w:tc>
          <w:tcPr>
            <w:tcW w:w="2114" w:type="pct"/>
            <w:vAlign w:val="center"/>
          </w:tcPr>
          <w:p w14:paraId="1C2EEEBD">
            <w:pPr>
              <w:pStyle w:val="5"/>
              <w:spacing w:line="360" w:lineRule="auto"/>
              <w:jc w:val="center"/>
              <w:rPr>
                <w:rFonts w:cs="仿宋"/>
                <w:b/>
                <w:bCs/>
                <w:color w:val="auto"/>
                <w:szCs w:val="21"/>
              </w:rPr>
            </w:pPr>
          </w:p>
        </w:tc>
        <w:tc>
          <w:tcPr>
            <w:tcW w:w="1219" w:type="pct"/>
            <w:vAlign w:val="center"/>
          </w:tcPr>
          <w:p w14:paraId="475EA466">
            <w:pPr>
              <w:pStyle w:val="5"/>
              <w:spacing w:line="360" w:lineRule="auto"/>
              <w:jc w:val="left"/>
              <w:rPr>
                <w:rFonts w:eastAsia="宋体" w:cs="仿宋"/>
                <w:b/>
                <w:bCs/>
                <w:color w:val="auto"/>
                <w:szCs w:val="21"/>
                <w:lang w:eastAsia="zh-Hans"/>
              </w:rPr>
            </w:pPr>
          </w:p>
        </w:tc>
      </w:tr>
      <w:tr w14:paraId="73662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14:paraId="2D52B995">
            <w:pPr>
              <w:pStyle w:val="5"/>
              <w:spacing w:line="360" w:lineRule="auto"/>
              <w:jc w:val="center"/>
              <w:rPr>
                <w:rFonts w:cs="仿宋"/>
                <w:b/>
                <w:bCs/>
                <w:color w:val="auto"/>
                <w:szCs w:val="21"/>
              </w:rPr>
            </w:pPr>
          </w:p>
        </w:tc>
        <w:tc>
          <w:tcPr>
            <w:tcW w:w="2114" w:type="pct"/>
            <w:vAlign w:val="center"/>
          </w:tcPr>
          <w:p w14:paraId="6C690C25">
            <w:pPr>
              <w:pStyle w:val="5"/>
              <w:spacing w:line="360" w:lineRule="auto"/>
              <w:jc w:val="center"/>
              <w:rPr>
                <w:rFonts w:cs="仿宋"/>
                <w:b/>
                <w:bCs/>
                <w:color w:val="auto"/>
                <w:szCs w:val="21"/>
              </w:rPr>
            </w:pPr>
          </w:p>
        </w:tc>
        <w:tc>
          <w:tcPr>
            <w:tcW w:w="1219" w:type="pct"/>
            <w:vAlign w:val="center"/>
          </w:tcPr>
          <w:p w14:paraId="3732B496">
            <w:pPr>
              <w:pStyle w:val="5"/>
              <w:spacing w:line="360" w:lineRule="auto"/>
              <w:jc w:val="left"/>
              <w:rPr>
                <w:rFonts w:cs="仿宋"/>
                <w:b/>
                <w:bCs/>
                <w:color w:val="auto"/>
                <w:szCs w:val="21"/>
              </w:rPr>
            </w:pPr>
          </w:p>
        </w:tc>
      </w:tr>
      <w:tr w14:paraId="3AAF9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666" w:type="pct"/>
          </w:tcPr>
          <w:p w14:paraId="521E8801">
            <w:pPr>
              <w:pStyle w:val="5"/>
              <w:spacing w:line="360" w:lineRule="auto"/>
              <w:jc w:val="center"/>
              <w:rPr>
                <w:rFonts w:cs="仿宋"/>
                <w:b/>
                <w:bCs/>
                <w:color w:val="auto"/>
                <w:szCs w:val="21"/>
              </w:rPr>
            </w:pPr>
          </w:p>
        </w:tc>
        <w:tc>
          <w:tcPr>
            <w:tcW w:w="3333" w:type="pct"/>
            <w:gridSpan w:val="2"/>
          </w:tcPr>
          <w:p w14:paraId="644F6E90">
            <w:pPr>
              <w:pStyle w:val="5"/>
              <w:spacing w:line="360" w:lineRule="auto"/>
              <w:jc w:val="left"/>
              <w:rPr>
                <w:rFonts w:hint="eastAsia" w:hAnsi="宋体" w:cs="仿宋"/>
                <w:color w:val="auto"/>
                <w:kern w:val="0"/>
                <w:szCs w:val="21"/>
              </w:rPr>
            </w:pPr>
          </w:p>
        </w:tc>
      </w:tr>
    </w:tbl>
    <w:p w14:paraId="051F8BCA">
      <w:pPr>
        <w:spacing w:line="360" w:lineRule="auto"/>
        <w:ind w:right="-514" w:firstLine="460" w:firstLineChars="200"/>
        <w:rPr>
          <w:rFonts w:hint="eastAsia" w:ascii="宋体" w:hAnsi="宋体" w:eastAsia="宋体"/>
          <w:color w:val="auto"/>
          <w:spacing w:val="10"/>
          <w:szCs w:val="21"/>
        </w:rPr>
      </w:pPr>
      <w:r>
        <w:rPr>
          <w:rFonts w:hint="eastAsia" w:ascii="宋体" w:hAnsi="宋体" w:eastAsia="宋体"/>
          <w:color w:val="auto"/>
          <w:spacing w:val="10"/>
          <w:szCs w:val="21"/>
        </w:rPr>
        <w:t>以每次的《设备货物清单》（附件一）为准</w:t>
      </w:r>
      <w:r>
        <w:rPr>
          <w:rFonts w:ascii="宋体" w:hAnsi="宋体" w:eastAsia="宋体"/>
          <w:color w:val="auto"/>
          <w:spacing w:val="10"/>
          <w:szCs w:val="21"/>
        </w:rPr>
        <w:t>。</w:t>
      </w:r>
    </w:p>
    <w:p w14:paraId="6670EC4F">
      <w:pPr>
        <w:tabs>
          <w:tab w:val="left" w:pos="720"/>
        </w:tabs>
        <w:spacing w:line="360" w:lineRule="auto"/>
        <w:ind w:right="-514"/>
        <w:rPr>
          <w:rFonts w:hint="eastAsia" w:ascii="宋体" w:hAnsi="宋体" w:eastAsia="宋体"/>
          <w:b/>
          <w:color w:val="auto"/>
          <w:spacing w:val="10"/>
          <w:szCs w:val="21"/>
        </w:rPr>
      </w:pPr>
      <w:r>
        <w:rPr>
          <w:rFonts w:hint="eastAsia" w:ascii="宋体" w:hAnsi="宋体" w:eastAsia="宋体"/>
          <w:b/>
          <w:color w:val="auto"/>
          <w:spacing w:val="10"/>
          <w:szCs w:val="21"/>
        </w:rPr>
        <w:t>2.项目范围</w:t>
      </w:r>
    </w:p>
    <w:p w14:paraId="7F96BF0B">
      <w:pPr>
        <w:tabs>
          <w:tab w:val="left" w:pos="720"/>
        </w:tabs>
        <w:spacing w:line="360" w:lineRule="auto"/>
        <w:ind w:right="-514" w:firstLine="0" w:firstLineChars="0"/>
        <w:rPr>
          <w:rFonts w:hint="eastAsia" w:ascii="宋体" w:hAnsi="宋体" w:eastAsia="宋体"/>
          <w:b/>
          <w:color w:val="auto"/>
          <w:spacing w:val="10"/>
          <w:szCs w:val="21"/>
        </w:rPr>
      </w:pPr>
      <w:r>
        <w:rPr>
          <w:rFonts w:ascii="宋体" w:hAnsi="宋体" w:eastAsia="宋体"/>
          <w:b/>
          <w:color w:val="auto"/>
          <w:spacing w:val="10"/>
          <w:szCs w:val="21"/>
        </w:rPr>
        <w:t>本项目为</w:t>
      </w:r>
      <w:r>
        <w:rPr>
          <w:rFonts w:ascii="宋体" w:hAnsi="宋体" w:eastAsia="宋体"/>
          <w:b/>
          <w:bCs/>
          <w:color w:val="auto"/>
          <w:spacing w:val="10"/>
          <w:szCs w:val="21"/>
        </w:rPr>
        <w:t>联广骨干网互联互通 400G OTN 系统建设</w:t>
      </w:r>
      <w:r>
        <w:rPr>
          <w:rFonts w:ascii="宋体" w:hAnsi="宋体" w:eastAsia="宋体"/>
          <w:b/>
          <w:color w:val="auto"/>
          <w:spacing w:val="10"/>
          <w:szCs w:val="21"/>
        </w:rPr>
        <w:t>，乙方提供设备供货 + 系统集成服务，包括：方案设计、系统配置、设备供货、运输、安装、调试、测试、6 个月试运行、技术培训、技术支持、质保服务及备品备件，覆盖北京、廊坊、正定、石家庄、郑州、武汉、长沙、广州、常平、东莞 OTM 站及沿线 OLA 站。</w:t>
      </w:r>
    </w:p>
    <w:p w14:paraId="73B79640">
      <w:pPr>
        <w:numPr>
          <w:ilvl w:val="0"/>
          <w:numId w:val="1"/>
        </w:numPr>
        <w:tabs>
          <w:tab w:val="clear" w:pos="720"/>
        </w:tabs>
        <w:spacing w:line="360" w:lineRule="auto"/>
        <w:ind w:left="0" w:firstLine="0"/>
        <w:rPr>
          <w:rFonts w:hint="eastAsia" w:ascii="宋体" w:hAnsi="宋体" w:eastAsia="宋体"/>
          <w:b/>
          <w:color w:val="auto"/>
          <w:spacing w:val="10"/>
          <w:szCs w:val="21"/>
        </w:rPr>
      </w:pPr>
      <w:r>
        <w:rPr>
          <w:rFonts w:hint="eastAsia" w:ascii="宋体" w:hAnsi="宋体" w:eastAsia="宋体"/>
          <w:b/>
          <w:color w:val="auto"/>
          <w:spacing w:val="10"/>
          <w:szCs w:val="21"/>
        </w:rPr>
        <w:t>合同金额（含税）：</w:t>
      </w:r>
      <w:r>
        <w:rPr>
          <w:rFonts w:hint="eastAsia" w:ascii="宋体" w:hAnsi="宋体" w:eastAsia="宋体"/>
          <w:b/>
          <w:color w:val="auto"/>
          <w:spacing w:val="10"/>
          <w:szCs w:val="21"/>
          <w:u w:val="single"/>
        </w:rPr>
        <w:t xml:space="preserve">  </w:t>
      </w:r>
      <w:r>
        <w:rPr>
          <w:rFonts w:hint="eastAsia" w:ascii="宋体" w:hAnsi="宋体" w:eastAsia="宋体"/>
          <w:b/>
          <w:color w:val="auto"/>
          <w:spacing w:val="10"/>
          <w:szCs w:val="21"/>
        </w:rPr>
        <w:t>元 人民币大写：</w:t>
      </w:r>
      <w:r>
        <w:rPr>
          <w:rFonts w:hint="eastAsia" w:ascii="宋体" w:hAnsi="宋体" w:eastAsia="宋体"/>
          <w:b/>
          <w:color w:val="auto"/>
          <w:spacing w:val="10"/>
          <w:szCs w:val="21"/>
          <w:u w:val="single"/>
        </w:rPr>
        <w:t xml:space="preserve">    税额：  </w:t>
      </w:r>
      <w:r>
        <w:rPr>
          <w:rFonts w:hint="eastAsia" w:ascii="宋体" w:hAnsi="宋体" w:eastAsia="宋体"/>
          <w:b/>
          <w:color w:val="auto"/>
          <w:spacing w:val="10"/>
          <w:szCs w:val="21"/>
        </w:rPr>
        <w:t>。</w:t>
      </w:r>
      <w:r>
        <w:rPr>
          <w:rFonts w:hint="eastAsia" w:ascii="宋体" w:hAnsi="宋体" w:eastAsia="宋体"/>
          <w:color w:val="auto"/>
          <w:spacing w:val="10"/>
          <w:szCs w:val="21"/>
        </w:rPr>
        <w:t>具体每次下单以《设备货物</w:t>
      </w:r>
      <w:r>
        <w:rPr>
          <w:rFonts w:ascii="宋体" w:hAnsi="宋体" w:eastAsia="宋体"/>
          <w:color w:val="auto"/>
          <w:spacing w:val="10"/>
          <w:szCs w:val="21"/>
        </w:rPr>
        <w:t>清单</w:t>
      </w:r>
      <w:r>
        <w:rPr>
          <w:rFonts w:hint="eastAsia" w:ascii="宋体" w:hAnsi="宋体" w:eastAsia="宋体"/>
          <w:color w:val="auto"/>
          <w:spacing w:val="10"/>
          <w:szCs w:val="21"/>
        </w:rPr>
        <w:t>》（附件一）</w:t>
      </w:r>
      <w:r>
        <w:rPr>
          <w:rFonts w:ascii="宋体" w:hAnsi="宋体" w:eastAsia="宋体"/>
          <w:color w:val="auto"/>
          <w:spacing w:val="10"/>
          <w:szCs w:val="21"/>
        </w:rPr>
        <w:t>为准</w:t>
      </w:r>
      <w:r>
        <w:rPr>
          <w:rFonts w:hint="eastAsia" w:ascii="宋体" w:hAnsi="宋体" w:eastAsia="宋体"/>
          <w:color w:val="auto"/>
          <w:spacing w:val="10"/>
          <w:szCs w:val="21"/>
        </w:rPr>
        <w:t>。</w:t>
      </w:r>
    </w:p>
    <w:p w14:paraId="4088620E">
      <w:pPr>
        <w:spacing w:line="360" w:lineRule="auto"/>
        <w:ind w:right="640" w:firstLine="420" w:firstLineChars="200"/>
        <w:rPr>
          <w:rFonts w:hint="eastAsia" w:ascii="宋体" w:hAnsi="宋体" w:eastAsia="宋体"/>
          <w:color w:val="auto"/>
          <w:szCs w:val="21"/>
        </w:rPr>
      </w:pPr>
      <w:r>
        <w:rPr>
          <w:rFonts w:hint="eastAsia" w:ascii="宋体" w:hAnsi="宋体" w:eastAsia="宋体"/>
          <w:color w:val="auto"/>
          <w:szCs w:val="21"/>
        </w:rPr>
        <w:t>上述价款系在乙方全面正确地履行合同义务时甲方应支付给乙方的款项。包括但不限于产品款项、所有应由乙方承担的税费、产品运输费、包装费、安装调试费、检测费、</w:t>
      </w:r>
      <w:r>
        <w:rPr>
          <w:rFonts w:ascii="宋体" w:hAnsi="宋体" w:eastAsia="宋体"/>
          <w:b/>
          <w:bCs/>
          <w:color w:val="auto"/>
          <w:szCs w:val="21"/>
        </w:rPr>
        <w:t>方案设计费、系统集成费、试运行费、培训费、技术服务费、质保费、备品备件费</w:t>
      </w:r>
      <w:r>
        <w:rPr>
          <w:rFonts w:ascii="宋体" w:hAnsi="宋体" w:eastAsia="宋体"/>
          <w:color w:val="auto"/>
          <w:szCs w:val="21"/>
        </w:rPr>
        <w:t>、</w:t>
      </w:r>
      <w:r>
        <w:rPr>
          <w:rFonts w:hint="eastAsia" w:ascii="宋体" w:hAnsi="宋体" w:eastAsia="宋体"/>
          <w:color w:val="auto"/>
          <w:szCs w:val="21"/>
        </w:rPr>
        <w:t>产品交付甲方之前的保险费、保修期内的售后服务费等。</w:t>
      </w:r>
    </w:p>
    <w:p w14:paraId="77AB5A8B">
      <w:pPr>
        <w:numPr>
          <w:ilvl w:val="0"/>
          <w:numId w:val="1"/>
        </w:numPr>
        <w:spacing w:line="360" w:lineRule="auto"/>
        <w:rPr>
          <w:rFonts w:hint="eastAsia" w:ascii="宋体" w:hAnsi="宋体" w:eastAsia="宋体"/>
          <w:b/>
          <w:color w:val="auto"/>
          <w:spacing w:val="10"/>
          <w:szCs w:val="21"/>
        </w:rPr>
      </w:pPr>
      <w:r>
        <w:rPr>
          <w:rFonts w:hint="eastAsia" w:ascii="宋体" w:hAnsi="宋体" w:eastAsia="宋体"/>
          <w:b/>
          <w:color w:val="auto"/>
          <w:szCs w:val="21"/>
        </w:rPr>
        <w:t>品质保证</w:t>
      </w:r>
    </w:p>
    <w:tbl>
      <w:tblPr>
        <w:tblStyle w:val="12"/>
        <w:tblW w:w="9868" w:type="dxa"/>
        <w:tblInd w:w="-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8"/>
        <w:gridCol w:w="7740"/>
      </w:tblGrid>
      <w:tr w14:paraId="629CD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128" w:type="dxa"/>
            <w:vAlign w:val="center"/>
          </w:tcPr>
          <w:p w14:paraId="100F48D8">
            <w:pPr>
              <w:pStyle w:val="20"/>
              <w:spacing w:line="360" w:lineRule="auto"/>
              <w:ind w:firstLine="210" w:firstLineChars="100"/>
              <w:jc w:val="center"/>
              <w:rPr>
                <w:rFonts w:hint="eastAsia" w:ascii="宋体" w:hAnsi="宋体"/>
                <w:color w:val="auto"/>
                <w:sz w:val="21"/>
                <w:szCs w:val="21"/>
              </w:rPr>
            </w:pPr>
            <w:r>
              <w:rPr>
                <w:rFonts w:hint="eastAsia" w:ascii="宋体" w:hAnsi="宋体"/>
                <w:color w:val="auto"/>
                <w:sz w:val="21"/>
                <w:szCs w:val="21"/>
              </w:rPr>
              <w:t>品质描述</w:t>
            </w:r>
          </w:p>
        </w:tc>
        <w:tc>
          <w:tcPr>
            <w:tcW w:w="7740" w:type="dxa"/>
          </w:tcPr>
          <w:p w14:paraId="52211879">
            <w:pPr>
              <w:pStyle w:val="20"/>
              <w:spacing w:line="360" w:lineRule="auto"/>
              <w:rPr>
                <w:rFonts w:hint="eastAsia" w:ascii="宋体" w:hAnsi="宋体"/>
                <w:color w:val="auto"/>
                <w:sz w:val="21"/>
              </w:rPr>
            </w:pPr>
            <w:r>
              <w:rPr>
                <w:rFonts w:ascii="宋体" w:hAnsi="宋体"/>
                <w:color w:val="auto"/>
                <w:sz w:val="21"/>
                <w:szCs w:val="21"/>
              </w:rPr>
              <w:t>1.</w:t>
            </w:r>
            <w:r>
              <w:rPr>
                <w:rFonts w:hint="eastAsia" w:ascii="宋体" w:hAnsi="宋体"/>
                <w:color w:val="auto"/>
                <w:sz w:val="21"/>
              </w:rPr>
              <w:t>合同项下所提供的货物及服务均应当来自国内或者是与中国有正常贸易往来的国家和地区（以下简称“合格来源国”）。</w:t>
            </w:r>
          </w:p>
          <w:p w14:paraId="64074355">
            <w:pPr>
              <w:pStyle w:val="20"/>
              <w:spacing w:line="360" w:lineRule="auto"/>
              <w:rPr>
                <w:rFonts w:hint="eastAsia" w:ascii="宋体" w:hAnsi="宋体"/>
                <w:color w:val="auto"/>
                <w:sz w:val="21"/>
                <w:szCs w:val="21"/>
              </w:rPr>
            </w:pPr>
            <w:r>
              <w:rPr>
                <w:rFonts w:ascii="宋体" w:hAnsi="宋体"/>
                <w:color w:val="auto"/>
                <w:sz w:val="21"/>
                <w:szCs w:val="21"/>
              </w:rPr>
              <w:t>2.</w:t>
            </w:r>
            <w:r>
              <w:rPr>
                <w:rFonts w:hint="eastAsia" w:ascii="宋体" w:hAnsi="宋体"/>
                <w:color w:val="auto"/>
                <w:sz w:val="21"/>
                <w:szCs w:val="21"/>
              </w:rPr>
              <w:t>乙方所提供产品是由原厂生产、供应、全新、未曾使用过的正品，并完全符合本合同规定的质量和性能，且不低于国家标准和同行业公认的相关标准；乙方保证本合同产品在正确安装、使用的情况下运转良好，能够满足项目使用需求。</w:t>
            </w:r>
          </w:p>
          <w:p w14:paraId="67430E42">
            <w:pPr>
              <w:pStyle w:val="20"/>
              <w:spacing w:line="360" w:lineRule="auto"/>
              <w:rPr>
                <w:rFonts w:hint="eastAsia" w:ascii="宋体" w:hAnsi="宋体"/>
                <w:color w:val="auto"/>
                <w:sz w:val="21"/>
                <w:szCs w:val="21"/>
              </w:rPr>
            </w:pPr>
            <w:r>
              <w:rPr>
                <w:rFonts w:ascii="宋体" w:hAnsi="宋体"/>
                <w:color w:val="auto"/>
                <w:sz w:val="21"/>
                <w:szCs w:val="21"/>
              </w:rPr>
              <w:t>3. 设备满足《OTN 传输设备技术规范书（2026 年 5 月）》全部技术指标：400G 采用 QPSK 编码、支持 C+L Ready、板卡 1+1 冗余、支持 ASON 及各类保护、试运行 6 个月插盘返修率≤0.1%、同种插盘故障率≤0.5%。（新增）</w:t>
            </w:r>
          </w:p>
        </w:tc>
      </w:tr>
      <w:tr w14:paraId="16F50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2128" w:type="dxa"/>
            <w:vAlign w:val="center"/>
          </w:tcPr>
          <w:p w14:paraId="198434F9">
            <w:pPr>
              <w:pStyle w:val="20"/>
              <w:spacing w:line="360" w:lineRule="auto"/>
              <w:jc w:val="center"/>
              <w:rPr>
                <w:rFonts w:hint="eastAsia" w:ascii="宋体" w:hAnsi="宋体"/>
                <w:color w:val="auto"/>
                <w:sz w:val="21"/>
                <w:szCs w:val="21"/>
              </w:rPr>
            </w:pPr>
            <w:r>
              <w:rPr>
                <w:rFonts w:hint="eastAsia" w:ascii="宋体" w:hAnsi="宋体"/>
                <w:color w:val="auto"/>
                <w:sz w:val="21"/>
                <w:szCs w:val="21"/>
              </w:rPr>
              <w:t>其他要求</w:t>
            </w:r>
          </w:p>
        </w:tc>
        <w:tc>
          <w:tcPr>
            <w:tcW w:w="7740" w:type="dxa"/>
          </w:tcPr>
          <w:p w14:paraId="6EEBC9E6">
            <w:pPr>
              <w:pStyle w:val="20"/>
              <w:spacing w:line="360" w:lineRule="auto"/>
              <w:rPr>
                <w:rFonts w:hint="eastAsia" w:ascii="宋体" w:hAnsi="宋体"/>
                <w:color w:val="auto"/>
                <w:sz w:val="21"/>
                <w:szCs w:val="21"/>
              </w:rPr>
            </w:pPr>
          </w:p>
        </w:tc>
      </w:tr>
    </w:tbl>
    <w:p w14:paraId="2CF67088">
      <w:pPr>
        <w:numPr>
          <w:ilvl w:val="0"/>
          <w:numId w:val="1"/>
        </w:numPr>
        <w:spacing w:line="360" w:lineRule="auto"/>
        <w:rPr>
          <w:rFonts w:hint="eastAsia" w:ascii="宋体" w:hAnsi="宋体" w:eastAsia="宋体"/>
          <w:b/>
          <w:color w:val="auto"/>
          <w:szCs w:val="21"/>
        </w:rPr>
      </w:pPr>
      <w:r>
        <w:rPr>
          <w:rFonts w:hint="eastAsia" w:ascii="宋体" w:hAnsi="宋体" w:eastAsia="宋体"/>
          <w:b/>
          <w:color w:val="auto"/>
          <w:szCs w:val="21"/>
        </w:rPr>
        <w:t>包装</w:t>
      </w:r>
    </w:p>
    <w:p w14:paraId="3CD9192C">
      <w:pPr>
        <w:spacing w:line="360" w:lineRule="auto"/>
        <w:ind w:firstLine="420" w:firstLineChars="200"/>
        <w:rPr>
          <w:rFonts w:hint="eastAsia" w:ascii="宋体" w:hAnsi="宋体" w:eastAsia="宋体"/>
          <w:color w:val="auto"/>
        </w:rPr>
      </w:pPr>
      <w:r>
        <w:rPr>
          <w:rFonts w:hint="eastAsia" w:ascii="宋体" w:hAnsi="宋体" w:eastAsia="宋体"/>
          <w:color w:val="auto"/>
        </w:rPr>
        <w:t>货物到达</w:t>
      </w:r>
      <w:r>
        <w:rPr>
          <w:rFonts w:ascii="宋体" w:hAnsi="宋体" w:eastAsia="宋体"/>
          <w:color w:val="auto"/>
        </w:rPr>
        <w:t>甲方指定的最终目的地之前，货物毁损</w:t>
      </w:r>
      <w:r>
        <w:rPr>
          <w:rFonts w:hint="eastAsia" w:ascii="宋体" w:hAnsi="宋体" w:eastAsia="宋体"/>
          <w:color w:val="auto"/>
        </w:rPr>
        <w:t>、灭失等</w:t>
      </w:r>
      <w:r>
        <w:rPr>
          <w:rFonts w:ascii="宋体" w:hAnsi="宋体" w:eastAsia="宋体"/>
          <w:color w:val="auto"/>
        </w:rPr>
        <w:t>风险由乙方承担。</w:t>
      </w:r>
      <w:r>
        <w:rPr>
          <w:rFonts w:hint="eastAsia" w:ascii="宋体" w:hAnsi="宋体" w:eastAsia="宋体"/>
          <w:color w:val="auto"/>
        </w:rPr>
        <w:t>乙方应当提供货物运至合同条款规定的最终目的地所需要的包装，以防止货物在转运中损坏或者变质。这类包装应当采取防潮、防晒、防锈、防腐蚀、防震动及防止其他损坏的必要保护措施，从而保护货物能够经受多次搬运、装卸及长途运输。乙方应当承担由于其包装或者其防护措施不妥而引起货物锈蚀、损坏和丢失的任何损失的责任或者费用。</w:t>
      </w:r>
    </w:p>
    <w:p w14:paraId="661CFCF4">
      <w:pPr>
        <w:spacing w:line="360" w:lineRule="auto"/>
        <w:rPr>
          <w:rFonts w:hint="eastAsia" w:ascii="宋体" w:hAnsi="宋体" w:eastAsia="宋体"/>
          <w:b/>
          <w:color w:val="auto"/>
        </w:rPr>
      </w:pPr>
      <w:r>
        <w:rPr>
          <w:rFonts w:hint="eastAsia" w:ascii="宋体" w:hAnsi="宋体" w:eastAsia="宋体"/>
          <w:b/>
          <w:color w:val="auto"/>
        </w:rPr>
        <w:t>五</w:t>
      </w:r>
      <w:r>
        <w:rPr>
          <w:rFonts w:ascii="宋体" w:hAnsi="宋体" w:eastAsia="宋体"/>
          <w:b/>
          <w:color w:val="auto"/>
        </w:rPr>
        <w:t>、</w:t>
      </w:r>
      <w:r>
        <w:rPr>
          <w:rFonts w:hint="eastAsia" w:ascii="宋体" w:hAnsi="宋体" w:eastAsia="宋体"/>
          <w:b/>
          <w:color w:val="auto"/>
        </w:rPr>
        <w:t xml:space="preserve">   </w:t>
      </w:r>
      <w:r>
        <w:rPr>
          <w:rFonts w:ascii="宋体" w:hAnsi="宋体" w:eastAsia="宋体"/>
          <w:b/>
          <w:color w:val="auto"/>
        </w:rPr>
        <w:t>装运标记</w:t>
      </w:r>
    </w:p>
    <w:p w14:paraId="7293CEBF">
      <w:pPr>
        <w:pStyle w:val="21"/>
        <w:ind w:firstLine="0" w:firstLineChars="0"/>
        <w:rPr>
          <w:rFonts w:hint="eastAsia" w:ascii="宋体" w:hAnsi="宋体"/>
          <w:color w:val="auto"/>
          <w:sz w:val="21"/>
        </w:rPr>
      </w:pPr>
      <w:r>
        <w:rPr>
          <w:rFonts w:ascii="宋体" w:hAnsi="宋体"/>
          <w:color w:val="auto"/>
          <w:sz w:val="21"/>
        </w:rPr>
        <w:t xml:space="preserve">5.1 </w:t>
      </w:r>
      <w:r>
        <w:rPr>
          <w:rFonts w:hint="eastAsia" w:ascii="宋体" w:hAnsi="宋体"/>
          <w:color w:val="auto"/>
          <w:sz w:val="21"/>
        </w:rPr>
        <w:t>乙方应当在每一包装箱相邻的四面用不可擦除的油漆和明显的字样做出以下标记：</w:t>
      </w:r>
    </w:p>
    <w:p w14:paraId="3BEA3594">
      <w:pPr>
        <w:pStyle w:val="21"/>
        <w:ind w:firstLine="0" w:firstLineChars="0"/>
        <w:rPr>
          <w:rFonts w:hint="eastAsia" w:ascii="宋体" w:hAnsi="宋体"/>
          <w:color w:val="auto"/>
          <w:sz w:val="21"/>
        </w:rPr>
      </w:pPr>
      <w:r>
        <w:rPr>
          <w:rFonts w:ascii="宋体" w:hAnsi="宋体"/>
          <w:color w:val="auto"/>
          <w:sz w:val="21"/>
        </w:rPr>
        <w:t xml:space="preserve">5.1.1 </w:t>
      </w:r>
      <w:r>
        <w:rPr>
          <w:rFonts w:hint="eastAsia" w:ascii="宋体" w:hAnsi="宋体"/>
          <w:color w:val="auto"/>
          <w:sz w:val="21"/>
        </w:rPr>
        <w:t>收货人；</w:t>
      </w:r>
    </w:p>
    <w:p w14:paraId="40F67772">
      <w:pPr>
        <w:pStyle w:val="21"/>
        <w:ind w:firstLine="0" w:firstLineChars="0"/>
        <w:rPr>
          <w:rFonts w:hint="eastAsia" w:ascii="宋体" w:hAnsi="宋体"/>
          <w:color w:val="auto"/>
          <w:sz w:val="21"/>
        </w:rPr>
      </w:pPr>
      <w:r>
        <w:rPr>
          <w:rFonts w:ascii="宋体" w:hAnsi="宋体"/>
          <w:color w:val="auto"/>
          <w:sz w:val="21"/>
        </w:rPr>
        <w:t xml:space="preserve">5.1.2 </w:t>
      </w:r>
      <w:r>
        <w:rPr>
          <w:rFonts w:hint="eastAsia" w:ascii="宋体" w:hAnsi="宋体"/>
          <w:color w:val="auto"/>
          <w:sz w:val="21"/>
        </w:rPr>
        <w:t>合同号；</w:t>
      </w:r>
    </w:p>
    <w:p w14:paraId="2367870F">
      <w:pPr>
        <w:pStyle w:val="21"/>
        <w:ind w:firstLine="0" w:firstLineChars="0"/>
        <w:rPr>
          <w:rFonts w:hint="eastAsia" w:ascii="宋体" w:hAnsi="宋体"/>
          <w:color w:val="auto"/>
          <w:sz w:val="21"/>
        </w:rPr>
      </w:pPr>
      <w:r>
        <w:rPr>
          <w:rFonts w:ascii="宋体" w:hAnsi="宋体"/>
          <w:color w:val="auto"/>
          <w:sz w:val="21"/>
        </w:rPr>
        <w:t xml:space="preserve">5.1.3 </w:t>
      </w:r>
      <w:r>
        <w:rPr>
          <w:rFonts w:hint="eastAsia" w:ascii="宋体" w:hAnsi="宋体"/>
          <w:color w:val="auto"/>
          <w:sz w:val="21"/>
        </w:rPr>
        <w:t>发货标记（唛头）；</w:t>
      </w:r>
    </w:p>
    <w:p w14:paraId="3812D012">
      <w:pPr>
        <w:pStyle w:val="21"/>
        <w:ind w:firstLine="0" w:firstLineChars="0"/>
        <w:rPr>
          <w:rFonts w:hint="eastAsia" w:ascii="宋体" w:hAnsi="宋体"/>
          <w:color w:val="auto"/>
          <w:sz w:val="21"/>
        </w:rPr>
      </w:pPr>
      <w:r>
        <w:rPr>
          <w:rFonts w:ascii="宋体" w:hAnsi="宋体"/>
          <w:color w:val="auto"/>
          <w:sz w:val="21"/>
        </w:rPr>
        <w:t xml:space="preserve">5.1.4 </w:t>
      </w:r>
      <w:r>
        <w:rPr>
          <w:rFonts w:hint="eastAsia" w:ascii="宋体" w:hAnsi="宋体"/>
          <w:color w:val="auto"/>
          <w:sz w:val="21"/>
        </w:rPr>
        <w:t>收货人编号；</w:t>
      </w:r>
    </w:p>
    <w:p w14:paraId="733BBDF9">
      <w:pPr>
        <w:pStyle w:val="21"/>
        <w:ind w:firstLine="0" w:firstLineChars="0"/>
        <w:rPr>
          <w:rFonts w:hint="eastAsia" w:ascii="宋体" w:hAnsi="宋体"/>
          <w:color w:val="auto"/>
          <w:sz w:val="21"/>
        </w:rPr>
      </w:pPr>
      <w:r>
        <w:rPr>
          <w:rFonts w:ascii="宋体" w:hAnsi="宋体"/>
          <w:color w:val="auto"/>
          <w:sz w:val="21"/>
        </w:rPr>
        <w:t xml:space="preserve">5.1.5 </w:t>
      </w:r>
      <w:r>
        <w:rPr>
          <w:rFonts w:hint="eastAsia" w:ascii="宋体" w:hAnsi="宋体"/>
          <w:color w:val="auto"/>
          <w:sz w:val="21"/>
        </w:rPr>
        <w:t>目的地；</w:t>
      </w:r>
    </w:p>
    <w:p w14:paraId="0560934D">
      <w:pPr>
        <w:pStyle w:val="21"/>
        <w:ind w:firstLine="0" w:firstLineChars="0"/>
        <w:rPr>
          <w:rFonts w:hint="eastAsia" w:ascii="宋体" w:hAnsi="宋体"/>
          <w:color w:val="auto"/>
          <w:sz w:val="21"/>
        </w:rPr>
      </w:pPr>
      <w:r>
        <w:rPr>
          <w:rFonts w:ascii="宋体" w:hAnsi="宋体"/>
          <w:color w:val="auto"/>
          <w:sz w:val="21"/>
        </w:rPr>
        <w:t xml:space="preserve">5.1.6 </w:t>
      </w:r>
      <w:r>
        <w:rPr>
          <w:rFonts w:hint="eastAsia" w:ascii="宋体" w:hAnsi="宋体"/>
          <w:color w:val="auto"/>
          <w:sz w:val="21"/>
        </w:rPr>
        <w:t>货物名称、品目号和箱号；</w:t>
      </w:r>
    </w:p>
    <w:p w14:paraId="30DF7A55">
      <w:pPr>
        <w:pStyle w:val="21"/>
        <w:ind w:firstLine="0" w:firstLineChars="0"/>
        <w:rPr>
          <w:rFonts w:hint="eastAsia" w:ascii="宋体" w:hAnsi="宋体"/>
          <w:color w:val="auto"/>
          <w:sz w:val="21"/>
        </w:rPr>
      </w:pPr>
      <w:r>
        <w:rPr>
          <w:rFonts w:ascii="宋体" w:hAnsi="宋体"/>
          <w:color w:val="auto"/>
          <w:sz w:val="21"/>
        </w:rPr>
        <w:t xml:space="preserve">5.1.7 </w:t>
      </w:r>
      <w:r>
        <w:rPr>
          <w:rFonts w:hint="eastAsia" w:ascii="宋体" w:hAnsi="宋体"/>
          <w:color w:val="auto"/>
          <w:sz w:val="21"/>
        </w:rPr>
        <w:t>毛重</w:t>
      </w:r>
      <w:r>
        <w:rPr>
          <w:rFonts w:ascii="宋体" w:hAnsi="宋体"/>
          <w:color w:val="auto"/>
          <w:sz w:val="21"/>
        </w:rPr>
        <w:t>/</w:t>
      </w:r>
      <w:r>
        <w:rPr>
          <w:rFonts w:hint="eastAsia" w:ascii="宋体" w:hAnsi="宋体"/>
          <w:color w:val="auto"/>
          <w:sz w:val="21"/>
        </w:rPr>
        <w:t>净重（用</w:t>
      </w:r>
      <w:r>
        <w:rPr>
          <w:rFonts w:ascii="宋体" w:hAnsi="宋体"/>
          <w:color w:val="auto"/>
          <w:sz w:val="21"/>
        </w:rPr>
        <w:t>kg</w:t>
      </w:r>
      <w:r>
        <w:rPr>
          <w:rFonts w:hint="eastAsia" w:ascii="宋体" w:hAnsi="宋体"/>
          <w:color w:val="auto"/>
          <w:sz w:val="21"/>
        </w:rPr>
        <w:t>表示）；</w:t>
      </w:r>
    </w:p>
    <w:p w14:paraId="68CEA9A4">
      <w:pPr>
        <w:pStyle w:val="21"/>
        <w:ind w:firstLine="0" w:firstLineChars="0"/>
        <w:rPr>
          <w:rFonts w:hint="eastAsia" w:ascii="宋体" w:hAnsi="宋体"/>
          <w:color w:val="auto"/>
          <w:sz w:val="21"/>
        </w:rPr>
      </w:pPr>
      <w:r>
        <w:rPr>
          <w:rFonts w:ascii="宋体" w:hAnsi="宋体"/>
          <w:color w:val="auto"/>
          <w:sz w:val="21"/>
        </w:rPr>
        <w:t xml:space="preserve">5.1.8 </w:t>
      </w:r>
      <w:r>
        <w:rPr>
          <w:rFonts w:hint="eastAsia" w:ascii="宋体" w:hAnsi="宋体"/>
          <w:color w:val="auto"/>
          <w:sz w:val="21"/>
        </w:rPr>
        <w:t>尺寸（长</w:t>
      </w:r>
      <w:r>
        <w:rPr>
          <w:rFonts w:ascii="宋体" w:hAnsi="宋体"/>
          <w:color w:val="auto"/>
          <w:sz w:val="21"/>
        </w:rPr>
        <w:t>×</w:t>
      </w:r>
      <w:r>
        <w:rPr>
          <w:rFonts w:hint="eastAsia" w:ascii="宋体" w:hAnsi="宋体"/>
          <w:color w:val="auto"/>
          <w:sz w:val="21"/>
        </w:rPr>
        <w:t>宽</w:t>
      </w:r>
      <w:r>
        <w:rPr>
          <w:rFonts w:ascii="宋体" w:hAnsi="宋体"/>
          <w:color w:val="auto"/>
          <w:sz w:val="21"/>
        </w:rPr>
        <w:t>×</w:t>
      </w:r>
      <w:r>
        <w:rPr>
          <w:rFonts w:hint="eastAsia" w:ascii="宋体" w:hAnsi="宋体"/>
          <w:color w:val="auto"/>
          <w:sz w:val="21"/>
        </w:rPr>
        <w:t>高用</w:t>
      </w:r>
      <w:r>
        <w:rPr>
          <w:rFonts w:ascii="宋体" w:hAnsi="宋体"/>
          <w:color w:val="auto"/>
          <w:sz w:val="21"/>
        </w:rPr>
        <w:t>cm</w:t>
      </w:r>
      <w:r>
        <w:rPr>
          <w:rFonts w:hint="eastAsia" w:ascii="宋体" w:hAnsi="宋体"/>
          <w:color w:val="auto"/>
          <w:sz w:val="21"/>
        </w:rPr>
        <w:t>表示）。</w:t>
      </w:r>
    </w:p>
    <w:p w14:paraId="1EC2C139">
      <w:pPr>
        <w:spacing w:line="360" w:lineRule="auto"/>
        <w:rPr>
          <w:rFonts w:hint="eastAsia" w:ascii="宋体" w:hAnsi="宋体"/>
          <w:color w:val="auto"/>
        </w:rPr>
      </w:pPr>
      <w:r>
        <w:rPr>
          <w:rFonts w:ascii="宋体" w:hAnsi="宋体" w:eastAsia="宋体"/>
          <w:color w:val="auto"/>
        </w:rPr>
        <w:t xml:space="preserve">5.2 </w:t>
      </w:r>
      <w:r>
        <w:rPr>
          <w:rFonts w:hint="eastAsia" w:ascii="宋体" w:hAnsi="宋体" w:eastAsia="宋体"/>
          <w:color w:val="auto"/>
        </w:rPr>
        <w:t>如果单件包装箱的重量在</w:t>
      </w:r>
      <w:r>
        <w:rPr>
          <w:rFonts w:ascii="宋体" w:hAnsi="宋体" w:eastAsia="宋体"/>
          <w:color w:val="auto"/>
        </w:rPr>
        <w:t>2</w:t>
      </w:r>
      <w:r>
        <w:rPr>
          <w:rFonts w:hint="eastAsia" w:ascii="宋体" w:hAnsi="宋体" w:eastAsia="宋体"/>
          <w:color w:val="auto"/>
        </w:rPr>
        <w:t>吨或者</w:t>
      </w:r>
      <w:r>
        <w:rPr>
          <w:rFonts w:ascii="宋体" w:hAnsi="宋体" w:eastAsia="宋体"/>
          <w:color w:val="auto"/>
        </w:rPr>
        <w:t>2</w:t>
      </w:r>
      <w:r>
        <w:rPr>
          <w:rFonts w:hint="eastAsia" w:ascii="宋体" w:hAnsi="宋体" w:eastAsia="宋体"/>
          <w:color w:val="auto"/>
        </w:rPr>
        <w:t>吨以上，乙方应当在包装箱两侧用中文和适当的运输标记标注“重心”和“起吊点”以便装卸和搬运。根据货物的特点和运输的不同要求，乙方应当在包装箱上清楚地标注“小心轻放”“此端朝上，请勿倒置”“保持干燥”等字样和其他的适当标记</w:t>
      </w:r>
      <w:r>
        <w:rPr>
          <w:rFonts w:hint="eastAsia" w:ascii="宋体" w:hAnsi="宋体"/>
          <w:color w:val="auto"/>
        </w:rPr>
        <w:t>。</w:t>
      </w:r>
    </w:p>
    <w:p w14:paraId="2924DF36">
      <w:pPr>
        <w:spacing w:line="360" w:lineRule="auto"/>
        <w:rPr>
          <w:rFonts w:hint="eastAsia" w:ascii="宋体" w:hAnsi="宋体" w:eastAsia="宋体"/>
          <w:b/>
          <w:color w:val="auto"/>
          <w:szCs w:val="21"/>
        </w:rPr>
      </w:pPr>
      <w:r>
        <w:rPr>
          <w:rFonts w:hint="eastAsia" w:ascii="宋体" w:hAnsi="宋体" w:eastAsia="宋体"/>
          <w:b/>
          <w:color w:val="auto"/>
          <w:szCs w:val="21"/>
        </w:rPr>
        <w:t>六</w:t>
      </w:r>
      <w:r>
        <w:rPr>
          <w:rFonts w:ascii="宋体" w:hAnsi="宋体" w:eastAsia="宋体"/>
          <w:b/>
          <w:color w:val="auto"/>
          <w:szCs w:val="21"/>
        </w:rPr>
        <w:t>、</w:t>
      </w:r>
      <w:r>
        <w:rPr>
          <w:rFonts w:hint="eastAsia" w:ascii="宋体" w:hAnsi="宋体" w:eastAsia="宋体"/>
          <w:b/>
          <w:color w:val="auto"/>
          <w:szCs w:val="21"/>
        </w:rPr>
        <w:t xml:space="preserve">   装运条件</w:t>
      </w:r>
    </w:p>
    <w:p w14:paraId="37E06CEA">
      <w:pPr>
        <w:spacing w:line="360" w:lineRule="auto"/>
        <w:ind w:firstLine="420" w:firstLineChars="200"/>
        <w:rPr>
          <w:rFonts w:hint="eastAsia" w:ascii="宋体" w:hAnsi="宋体" w:eastAsia="宋体"/>
          <w:b/>
          <w:color w:val="auto"/>
          <w:szCs w:val="21"/>
        </w:rPr>
      </w:pPr>
      <w:r>
        <w:rPr>
          <w:rFonts w:hint="eastAsia" w:ascii="宋体" w:hAnsi="宋体" w:eastAsia="宋体"/>
          <w:color w:val="auto"/>
        </w:rPr>
        <w:t>乙方装运的货物不应当超过合同规定的数量或者重量。否则，甲方对由此产生的一切费用和后果不承担责任。</w:t>
      </w:r>
    </w:p>
    <w:p w14:paraId="54E11DA6">
      <w:pPr>
        <w:spacing w:line="360" w:lineRule="auto"/>
        <w:rPr>
          <w:rFonts w:hint="eastAsia" w:ascii="宋体" w:hAnsi="宋体" w:eastAsia="宋体"/>
          <w:b/>
          <w:color w:val="auto"/>
          <w:szCs w:val="21"/>
        </w:rPr>
      </w:pPr>
      <w:r>
        <w:rPr>
          <w:rFonts w:hint="eastAsia" w:ascii="宋体" w:hAnsi="宋体" w:eastAsia="宋体"/>
          <w:b/>
          <w:color w:val="auto"/>
          <w:szCs w:val="21"/>
        </w:rPr>
        <w:t>七</w:t>
      </w:r>
      <w:r>
        <w:rPr>
          <w:rFonts w:ascii="宋体" w:hAnsi="宋体" w:eastAsia="宋体"/>
          <w:b/>
          <w:color w:val="auto"/>
          <w:szCs w:val="21"/>
        </w:rPr>
        <w:t>、</w:t>
      </w:r>
      <w:r>
        <w:rPr>
          <w:rFonts w:hint="eastAsia" w:ascii="宋体" w:hAnsi="宋体" w:eastAsia="宋体"/>
          <w:b/>
          <w:color w:val="auto"/>
          <w:szCs w:val="21"/>
        </w:rPr>
        <w:t xml:space="preserve">   装运通知</w:t>
      </w:r>
    </w:p>
    <w:p w14:paraId="3F068C88">
      <w:pPr>
        <w:spacing w:line="360" w:lineRule="auto"/>
        <w:rPr>
          <w:rFonts w:hint="eastAsia" w:ascii="宋体" w:hAnsi="宋体" w:eastAsia="宋体"/>
          <w:b/>
          <w:color w:val="auto"/>
          <w:szCs w:val="21"/>
        </w:rPr>
      </w:pPr>
      <w:r>
        <w:rPr>
          <w:rFonts w:hint="eastAsia" w:ascii="宋体" w:hAnsi="宋体" w:eastAsia="宋体"/>
          <w:color w:val="auto"/>
        </w:rPr>
        <w:t>7.1</w:t>
      </w:r>
      <w:r>
        <w:rPr>
          <w:rFonts w:ascii="宋体" w:hAnsi="宋体" w:eastAsia="宋体"/>
          <w:color w:val="auto"/>
        </w:rPr>
        <w:t xml:space="preserve"> </w:t>
      </w:r>
      <w:r>
        <w:rPr>
          <w:rFonts w:hint="eastAsia" w:ascii="宋体" w:hAnsi="宋体" w:eastAsia="宋体"/>
          <w:color w:val="auto"/>
        </w:rPr>
        <w:t>乙方应当在甲方要求的装运日期之前，即装运前一天或者空运前一天内以书面形式将合同号、货物名称、数量、箱数、总毛重、总体积（用</w:t>
      </w:r>
      <w:r>
        <w:rPr>
          <w:rFonts w:ascii="宋体" w:hAnsi="宋体" w:eastAsia="宋体"/>
          <w:color w:val="auto"/>
        </w:rPr>
        <w:t>m³</w:t>
      </w:r>
      <w:r>
        <w:rPr>
          <w:rFonts w:hint="eastAsia" w:ascii="宋体" w:hAnsi="宋体" w:eastAsia="宋体"/>
          <w:color w:val="auto"/>
        </w:rPr>
        <w:t>表示）和备妥待运日期通知甲方，同时，乙方应当用特快专递把详细的货物清单一式五份，包括合同号、货物名称、规格、数量、总体积（用</w:t>
      </w:r>
      <w:r>
        <w:rPr>
          <w:rFonts w:ascii="宋体" w:hAnsi="宋体" w:eastAsia="宋体"/>
          <w:color w:val="auto"/>
        </w:rPr>
        <w:t>m³</w:t>
      </w:r>
      <w:r>
        <w:rPr>
          <w:rFonts w:hint="eastAsia" w:ascii="宋体" w:hAnsi="宋体" w:eastAsia="宋体"/>
          <w:color w:val="auto"/>
        </w:rPr>
        <w:t>表示）、每箱尺寸（长×宽×高）、单价、总金额、启运地、备妥待运日期和货物在运输、储存中的特殊要求和注意事项等寄给甲方。</w:t>
      </w:r>
    </w:p>
    <w:p w14:paraId="5AABE26E">
      <w:pPr>
        <w:spacing w:line="360" w:lineRule="auto"/>
        <w:rPr>
          <w:rFonts w:hint="eastAsia" w:ascii="宋体" w:hAnsi="宋体" w:eastAsia="宋体"/>
          <w:color w:val="auto"/>
        </w:rPr>
      </w:pPr>
      <w:r>
        <w:rPr>
          <w:rFonts w:ascii="宋体" w:hAnsi="宋体" w:eastAsia="宋体"/>
          <w:color w:val="auto"/>
        </w:rPr>
        <w:t xml:space="preserve">7.2 </w:t>
      </w:r>
      <w:r>
        <w:rPr>
          <w:rFonts w:hint="eastAsia" w:ascii="宋体" w:hAnsi="宋体" w:eastAsia="宋体"/>
          <w:color w:val="auto"/>
        </w:rPr>
        <w:t>乙方应当在货物装完后</w:t>
      </w:r>
      <w:r>
        <w:rPr>
          <w:rFonts w:ascii="宋体" w:hAnsi="宋体" w:eastAsia="宋体"/>
          <w:color w:val="auto"/>
        </w:rPr>
        <w:t>24</w:t>
      </w:r>
      <w:r>
        <w:rPr>
          <w:rFonts w:hint="eastAsia" w:ascii="宋体" w:hAnsi="宋体" w:eastAsia="宋体"/>
          <w:color w:val="auto"/>
        </w:rPr>
        <w:t>小时之内以书面方式通知甲方。如果每个包装箱的重量超过</w:t>
      </w:r>
      <w:r>
        <w:rPr>
          <w:rFonts w:ascii="宋体" w:hAnsi="宋体" w:eastAsia="宋体"/>
          <w:color w:val="auto"/>
        </w:rPr>
        <w:t>20</w:t>
      </w:r>
      <w:r>
        <w:rPr>
          <w:rFonts w:hint="eastAsia" w:ascii="宋体" w:hAnsi="宋体" w:eastAsia="宋体"/>
          <w:color w:val="auto"/>
        </w:rPr>
        <w:t>吨（</w:t>
      </w:r>
      <w:r>
        <w:rPr>
          <w:rFonts w:ascii="宋体" w:hAnsi="宋体" w:eastAsia="宋体"/>
          <w:color w:val="auto"/>
        </w:rPr>
        <w:t>t</w:t>
      </w:r>
      <w:r>
        <w:rPr>
          <w:rFonts w:hint="eastAsia" w:ascii="宋体" w:hAnsi="宋体" w:eastAsia="宋体"/>
          <w:color w:val="auto"/>
        </w:rPr>
        <w:t>）或者体积达到或者超过长</w:t>
      </w:r>
      <w:r>
        <w:rPr>
          <w:rFonts w:ascii="宋体" w:hAnsi="宋体" w:eastAsia="宋体"/>
          <w:color w:val="auto"/>
        </w:rPr>
        <w:t>12</w:t>
      </w:r>
      <w:r>
        <w:rPr>
          <w:rFonts w:hint="eastAsia" w:ascii="宋体" w:hAnsi="宋体" w:eastAsia="宋体"/>
          <w:color w:val="auto"/>
        </w:rPr>
        <w:t>米（</w:t>
      </w:r>
      <w:r>
        <w:rPr>
          <w:rFonts w:ascii="宋体" w:hAnsi="宋体" w:eastAsia="宋体"/>
          <w:color w:val="auto"/>
        </w:rPr>
        <w:t>m</w:t>
      </w:r>
      <w:r>
        <w:rPr>
          <w:rFonts w:hint="eastAsia" w:ascii="宋体" w:hAnsi="宋体" w:eastAsia="宋体"/>
          <w:color w:val="auto"/>
        </w:rPr>
        <w:t>）、宽</w:t>
      </w:r>
      <w:r>
        <w:rPr>
          <w:rFonts w:ascii="宋体" w:hAnsi="宋体" w:eastAsia="宋体"/>
          <w:color w:val="auto"/>
        </w:rPr>
        <w:t>2.7</w:t>
      </w:r>
      <w:r>
        <w:rPr>
          <w:rFonts w:hint="eastAsia" w:ascii="宋体" w:hAnsi="宋体" w:eastAsia="宋体"/>
          <w:color w:val="auto"/>
        </w:rPr>
        <w:t>米（</w:t>
      </w:r>
      <w:r>
        <w:rPr>
          <w:rFonts w:ascii="宋体" w:hAnsi="宋体" w:eastAsia="宋体"/>
          <w:color w:val="auto"/>
        </w:rPr>
        <w:t>m</w:t>
      </w:r>
      <w:r>
        <w:rPr>
          <w:rFonts w:hint="eastAsia" w:ascii="宋体" w:hAnsi="宋体" w:eastAsia="宋体"/>
          <w:color w:val="auto"/>
        </w:rPr>
        <w:t>）和高</w:t>
      </w:r>
      <w:r>
        <w:rPr>
          <w:rFonts w:ascii="宋体" w:hAnsi="宋体" w:eastAsia="宋体"/>
          <w:color w:val="auto"/>
        </w:rPr>
        <w:t>3</w:t>
      </w:r>
      <w:r>
        <w:rPr>
          <w:rFonts w:hint="eastAsia" w:ascii="宋体" w:hAnsi="宋体" w:eastAsia="宋体"/>
          <w:color w:val="auto"/>
        </w:rPr>
        <w:t>米（</w:t>
      </w:r>
      <w:r>
        <w:rPr>
          <w:rFonts w:ascii="宋体" w:hAnsi="宋体" w:eastAsia="宋体"/>
          <w:color w:val="auto"/>
        </w:rPr>
        <w:t>m</w:t>
      </w:r>
      <w:r>
        <w:rPr>
          <w:rFonts w:hint="eastAsia" w:ascii="宋体" w:hAnsi="宋体" w:eastAsia="宋体"/>
          <w:color w:val="auto"/>
        </w:rPr>
        <w:t>），乙方应当将每个包装箱的重量和体积通知甲方，易燃品或者危险品等细节还应当另行注明。</w:t>
      </w:r>
    </w:p>
    <w:p w14:paraId="1B06F2E4">
      <w:pPr>
        <w:spacing w:line="360" w:lineRule="auto"/>
        <w:rPr>
          <w:rFonts w:hint="eastAsia" w:ascii="宋体" w:hAnsi="宋体" w:eastAsia="宋体"/>
          <w:b/>
          <w:color w:val="auto"/>
          <w:szCs w:val="21"/>
        </w:rPr>
      </w:pPr>
      <w:r>
        <w:rPr>
          <w:rFonts w:hint="eastAsia" w:ascii="宋体" w:hAnsi="宋体" w:eastAsia="宋体"/>
          <w:b/>
          <w:color w:val="auto"/>
          <w:spacing w:val="10"/>
          <w:szCs w:val="21"/>
        </w:rPr>
        <w:t>八、   交货</w:t>
      </w:r>
    </w:p>
    <w:p w14:paraId="3669ED1D">
      <w:pPr>
        <w:pStyle w:val="20"/>
        <w:tabs>
          <w:tab w:val="left" w:pos="1395"/>
        </w:tabs>
        <w:spacing w:line="360" w:lineRule="auto"/>
        <w:jc w:val="both"/>
        <w:rPr>
          <w:rFonts w:hint="eastAsia" w:ascii="宋体" w:hAnsi="宋体"/>
          <w:color w:val="auto"/>
          <w:sz w:val="21"/>
          <w:szCs w:val="21"/>
        </w:rPr>
      </w:pPr>
      <w:r>
        <w:rPr>
          <w:rFonts w:ascii="宋体" w:hAnsi="宋体"/>
          <w:color w:val="auto"/>
          <w:sz w:val="21"/>
          <w:szCs w:val="21"/>
        </w:rPr>
        <w:t xml:space="preserve">8.1 </w:t>
      </w:r>
      <w:r>
        <w:rPr>
          <w:rFonts w:hint="eastAsia" w:ascii="宋体" w:hAnsi="宋体"/>
          <w:color w:val="auto"/>
          <w:sz w:val="21"/>
          <w:szCs w:val="21"/>
        </w:rPr>
        <w:t>甲方发出采购指令后</w:t>
      </w:r>
      <w:r>
        <w:rPr>
          <w:rFonts w:hint="eastAsia" w:ascii="宋体" w:hAnsi="宋体"/>
          <w:color w:val="auto"/>
          <w:sz w:val="21"/>
          <w:szCs w:val="21"/>
          <w:u w:val="single"/>
        </w:rPr>
        <w:t xml:space="preserve"> 30 个日历</w:t>
      </w:r>
      <w:r>
        <w:rPr>
          <w:rFonts w:hint="eastAsia" w:ascii="宋体" w:hAnsi="宋体"/>
          <w:color w:val="auto"/>
          <w:sz w:val="21"/>
          <w:szCs w:val="21"/>
        </w:rPr>
        <w:t>日内将本合同约定的产品交付甲方指定地点的指定收货人，办理交货手续，同时交付相关的单证和产品资料，</w:t>
      </w:r>
      <w:r>
        <w:rPr>
          <w:rFonts w:ascii="宋体" w:hAnsi="宋体"/>
          <w:color w:val="auto"/>
          <w:sz w:val="21"/>
          <w:szCs w:val="21"/>
        </w:rPr>
        <w:t>视为乙方交货</w:t>
      </w:r>
      <w:r>
        <w:rPr>
          <w:rFonts w:hint="eastAsia" w:ascii="宋体" w:hAnsi="宋体"/>
          <w:color w:val="auto"/>
          <w:sz w:val="21"/>
          <w:szCs w:val="21"/>
        </w:rPr>
        <w:t>。乙方应承担与交货相关的一切费用，包括但不限于运输、保险、装卸及仓储等。</w:t>
      </w:r>
    </w:p>
    <w:p w14:paraId="04185DC0">
      <w:pPr>
        <w:pStyle w:val="20"/>
        <w:tabs>
          <w:tab w:val="left" w:pos="1395"/>
        </w:tabs>
        <w:spacing w:line="360" w:lineRule="auto"/>
        <w:jc w:val="both"/>
        <w:rPr>
          <w:rFonts w:hint="eastAsia" w:ascii="宋体" w:hAnsi="宋体"/>
          <w:color w:val="auto"/>
          <w:sz w:val="21"/>
          <w:szCs w:val="21"/>
        </w:rPr>
      </w:pPr>
      <w:r>
        <w:rPr>
          <w:rFonts w:hint="eastAsia" w:ascii="宋体" w:hAnsi="宋体"/>
          <w:color w:val="auto"/>
          <w:sz w:val="21"/>
          <w:szCs w:val="21"/>
        </w:rPr>
        <w:t>甲方指定交货地点为：</w:t>
      </w:r>
      <w:r>
        <w:rPr>
          <w:rFonts w:hint="eastAsia" w:ascii="宋体" w:hAnsi="宋体"/>
          <w:color w:val="auto"/>
          <w:sz w:val="21"/>
          <w:szCs w:val="21"/>
          <w:u w:val="single"/>
        </w:rPr>
        <w:t xml:space="preserve">  甲方指定地点   </w:t>
      </w:r>
      <w:r>
        <w:rPr>
          <w:rFonts w:hint="eastAsia" w:ascii="宋体" w:hAnsi="宋体"/>
          <w:color w:val="auto"/>
          <w:sz w:val="21"/>
          <w:szCs w:val="21"/>
        </w:rPr>
        <w:t>。</w:t>
      </w:r>
    </w:p>
    <w:p w14:paraId="5955534C">
      <w:pPr>
        <w:pStyle w:val="20"/>
        <w:tabs>
          <w:tab w:val="left" w:pos="1395"/>
        </w:tabs>
        <w:spacing w:line="360" w:lineRule="auto"/>
        <w:jc w:val="both"/>
        <w:rPr>
          <w:rFonts w:hint="eastAsia" w:ascii="宋体" w:hAnsi="宋体"/>
          <w:color w:val="auto"/>
          <w:sz w:val="21"/>
          <w:szCs w:val="21"/>
        </w:rPr>
      </w:pPr>
      <w:r>
        <w:rPr>
          <w:rFonts w:hint="eastAsia" w:ascii="宋体" w:hAnsi="宋体"/>
          <w:color w:val="auto"/>
          <w:sz w:val="21"/>
          <w:szCs w:val="21"/>
        </w:rPr>
        <w:t>8.1.1</w:t>
      </w:r>
      <w:r>
        <w:rPr>
          <w:rFonts w:ascii="宋体" w:hAnsi="宋体"/>
          <w:color w:val="auto"/>
          <w:sz w:val="21"/>
          <w:szCs w:val="21"/>
        </w:rPr>
        <w:t>关键工期节点</w:t>
      </w:r>
    </w:p>
    <w:p w14:paraId="0B694C87">
      <w:pPr>
        <w:pStyle w:val="20"/>
        <w:tabs>
          <w:tab w:val="left" w:pos="1395"/>
        </w:tabs>
        <w:spacing w:line="360" w:lineRule="auto"/>
        <w:jc w:val="both"/>
        <w:rPr>
          <w:rFonts w:hint="eastAsia" w:ascii="宋体" w:hAnsi="宋体"/>
          <w:color w:val="auto"/>
          <w:sz w:val="21"/>
          <w:szCs w:val="21"/>
        </w:rPr>
      </w:pPr>
      <w:r>
        <w:rPr>
          <w:rFonts w:hint="eastAsia" w:ascii="宋体" w:hAnsi="宋体"/>
          <w:color w:val="auto"/>
          <w:sz w:val="21"/>
          <w:szCs w:val="21"/>
        </w:rPr>
        <w:t>（1）合同生效后 14 日内：乙方提交全套系统设计文件、配置方案、施工图纸、测试方案，甲方 7 日内审核确认。</w:t>
      </w:r>
    </w:p>
    <w:p w14:paraId="61A98905">
      <w:pPr>
        <w:pStyle w:val="20"/>
        <w:tabs>
          <w:tab w:val="left" w:pos="1395"/>
        </w:tabs>
        <w:spacing w:line="360" w:lineRule="auto"/>
        <w:jc w:val="both"/>
        <w:rPr>
          <w:rFonts w:hint="eastAsia" w:ascii="宋体" w:hAnsi="宋体"/>
          <w:color w:val="auto"/>
          <w:sz w:val="21"/>
          <w:szCs w:val="21"/>
        </w:rPr>
      </w:pPr>
      <w:r>
        <w:rPr>
          <w:rFonts w:hint="eastAsia" w:ascii="宋体" w:hAnsi="宋体"/>
          <w:color w:val="auto"/>
          <w:sz w:val="21"/>
          <w:szCs w:val="21"/>
        </w:rPr>
        <w:t>（2）设备到货后 30 日内：完成全部安装、单机调测、系统联调、光层开通、性能测试。</w:t>
      </w:r>
    </w:p>
    <w:p w14:paraId="3FFA6493">
      <w:pPr>
        <w:pStyle w:val="20"/>
        <w:tabs>
          <w:tab w:val="left" w:pos="1395"/>
        </w:tabs>
        <w:spacing w:line="360" w:lineRule="auto"/>
        <w:jc w:val="both"/>
        <w:rPr>
          <w:rFonts w:hint="eastAsia" w:ascii="宋体" w:hAnsi="宋体"/>
          <w:color w:val="auto"/>
          <w:sz w:val="21"/>
          <w:szCs w:val="21"/>
        </w:rPr>
      </w:pPr>
      <w:r>
        <w:rPr>
          <w:rFonts w:hint="eastAsia" w:ascii="宋体" w:hAnsi="宋体"/>
          <w:color w:val="auto"/>
          <w:sz w:val="21"/>
          <w:szCs w:val="21"/>
        </w:rPr>
        <w:t>（3）调试完成后：进入 6 个月试运行期（4320 小时），试运行稳定无重大故障方可终验。</w:t>
      </w:r>
    </w:p>
    <w:p w14:paraId="6656294C">
      <w:pPr>
        <w:pStyle w:val="20"/>
        <w:tabs>
          <w:tab w:val="left" w:pos="1395"/>
        </w:tabs>
        <w:spacing w:line="360" w:lineRule="auto"/>
        <w:jc w:val="both"/>
        <w:rPr>
          <w:rFonts w:hint="eastAsia" w:ascii="宋体" w:hAnsi="宋体"/>
          <w:color w:val="auto"/>
          <w:sz w:val="21"/>
          <w:szCs w:val="21"/>
        </w:rPr>
      </w:pPr>
      <w:r>
        <w:rPr>
          <w:rFonts w:ascii="宋体" w:hAnsi="宋体"/>
          <w:color w:val="auto"/>
          <w:sz w:val="21"/>
          <w:szCs w:val="21"/>
        </w:rPr>
        <w:t>（4）试运行期满后 7 日内：组织终验并签署《验收合格证明》</w:t>
      </w:r>
    </w:p>
    <w:p w14:paraId="1909A104">
      <w:pPr>
        <w:pStyle w:val="20"/>
        <w:tabs>
          <w:tab w:val="left" w:pos="1395"/>
        </w:tabs>
        <w:spacing w:line="360" w:lineRule="auto"/>
        <w:jc w:val="both"/>
        <w:rPr>
          <w:rFonts w:hint="eastAsia" w:ascii="宋体" w:hAnsi="宋体"/>
          <w:color w:val="auto"/>
          <w:sz w:val="21"/>
          <w:szCs w:val="21"/>
        </w:rPr>
      </w:pPr>
      <w:r>
        <w:rPr>
          <w:rFonts w:ascii="宋体" w:hAnsi="宋体"/>
          <w:color w:val="auto"/>
          <w:sz w:val="21"/>
          <w:szCs w:val="21"/>
        </w:rPr>
        <w:t xml:space="preserve">8.2 </w:t>
      </w:r>
      <w:r>
        <w:rPr>
          <w:rFonts w:hint="eastAsia" w:ascii="宋体" w:hAnsi="宋体"/>
          <w:color w:val="auto"/>
          <w:sz w:val="21"/>
          <w:szCs w:val="21"/>
        </w:rPr>
        <w:t>提前交货：未经甲方同意，乙方不得提前交货，否则甲方有权拒收，如果甲方同意提前收货，则乙方应支付因此而引起的甲方的额外费用，包括但不限于收货后至合同规定的交货时间期间的仓储费及甲方为此而支出的其它费用。</w:t>
      </w:r>
    </w:p>
    <w:p w14:paraId="5BBCBDE2">
      <w:pPr>
        <w:pStyle w:val="20"/>
        <w:tabs>
          <w:tab w:val="left" w:pos="1395"/>
        </w:tabs>
        <w:spacing w:line="360" w:lineRule="auto"/>
        <w:jc w:val="both"/>
        <w:rPr>
          <w:rFonts w:hint="eastAsia" w:ascii="宋体" w:hAnsi="宋体"/>
          <w:color w:val="auto"/>
          <w:sz w:val="21"/>
          <w:szCs w:val="21"/>
        </w:rPr>
      </w:pPr>
      <w:r>
        <w:rPr>
          <w:rFonts w:ascii="宋体" w:hAnsi="宋体"/>
          <w:color w:val="auto"/>
          <w:sz w:val="21"/>
          <w:szCs w:val="21"/>
        </w:rPr>
        <w:t xml:space="preserve">8.3 </w:t>
      </w:r>
      <w:r>
        <w:rPr>
          <w:rFonts w:hint="eastAsia" w:ascii="宋体" w:hAnsi="宋体"/>
          <w:color w:val="auto"/>
          <w:sz w:val="21"/>
          <w:szCs w:val="21"/>
        </w:rPr>
        <w:t>迟延履行：如果乙方不能按时交货，除甲方同意或不可抗力情况外，乙方应当向甲方支付迟延交货违约金，违约金金额为每延期一天，支付本合同总价款0.01％的违约金，超过15日乙方仍不能交货的，则乙方须一次性向甲方支付本合同总金额20%的款项作为违约金，在此情况下，甲方有权单方解除本协议并要求乙方返还已收到的全部货款。当上述违约金不足以弥补甲方由此遭受的用户索赔时，乙方负责按照甲方实际损失赔偿。</w:t>
      </w:r>
    </w:p>
    <w:p w14:paraId="49AF04FA">
      <w:pPr>
        <w:pStyle w:val="20"/>
        <w:tabs>
          <w:tab w:val="left" w:pos="1395"/>
        </w:tabs>
        <w:spacing w:line="360" w:lineRule="auto"/>
        <w:jc w:val="both"/>
        <w:rPr>
          <w:rFonts w:hint="eastAsia" w:ascii="宋体" w:hAnsi="宋体"/>
          <w:color w:val="auto"/>
          <w:sz w:val="21"/>
          <w:szCs w:val="21"/>
        </w:rPr>
      </w:pPr>
      <w:r>
        <w:rPr>
          <w:rFonts w:hint="eastAsia" w:ascii="宋体" w:hAnsi="宋体"/>
          <w:color w:val="auto"/>
          <w:sz w:val="21"/>
          <w:szCs w:val="21"/>
        </w:rPr>
        <w:t>8.3.1工期延误扩展</w:t>
      </w:r>
    </w:p>
    <w:p w14:paraId="46EA14B3">
      <w:pPr>
        <w:pStyle w:val="20"/>
        <w:tabs>
          <w:tab w:val="left" w:pos="1395"/>
        </w:tabs>
        <w:spacing w:line="360" w:lineRule="auto"/>
        <w:jc w:val="both"/>
        <w:rPr>
          <w:rFonts w:hint="eastAsia" w:ascii="宋体" w:hAnsi="宋体"/>
          <w:color w:val="auto"/>
          <w:sz w:val="21"/>
          <w:szCs w:val="21"/>
        </w:rPr>
      </w:pPr>
      <w:r>
        <w:rPr>
          <w:rFonts w:ascii="宋体" w:hAnsi="宋体"/>
          <w:color w:val="auto"/>
          <w:sz w:val="21"/>
          <w:szCs w:val="21"/>
        </w:rPr>
        <w:t>设计、安装、调试、试运行任一节点逾期，按本条 8.3 同等标准计收违约金；试运行不合格导致工期延误，由乙方承担全部责任及损失。</w:t>
      </w:r>
    </w:p>
    <w:p w14:paraId="776014A4">
      <w:pPr>
        <w:pStyle w:val="20"/>
        <w:tabs>
          <w:tab w:val="left" w:pos="1395"/>
        </w:tabs>
        <w:spacing w:line="360" w:lineRule="auto"/>
        <w:jc w:val="both"/>
        <w:rPr>
          <w:rFonts w:hint="eastAsia" w:ascii="宋体" w:hAnsi="宋体"/>
          <w:color w:val="auto"/>
          <w:sz w:val="21"/>
          <w:szCs w:val="21"/>
        </w:rPr>
      </w:pPr>
      <w:r>
        <w:rPr>
          <w:rFonts w:ascii="宋体" w:hAnsi="宋体"/>
          <w:color w:val="auto"/>
          <w:sz w:val="21"/>
          <w:szCs w:val="21"/>
        </w:rPr>
        <w:t xml:space="preserve">8.4 </w:t>
      </w:r>
      <w:r>
        <w:rPr>
          <w:rFonts w:hint="eastAsia" w:ascii="宋体" w:hAnsi="宋体"/>
          <w:color w:val="auto"/>
          <w:sz w:val="21"/>
          <w:szCs w:val="21"/>
        </w:rPr>
        <w:t>交货通知：乙方应于交货前一日以书面形式通知甲方交货时间及地点，该书面通知应包括甲方名称、地址、电话、指定收货人、交货日期、产品、交货数量、合同号等内容，以便甲方协同用户提前安排产品的验收工作。</w:t>
      </w:r>
    </w:p>
    <w:p w14:paraId="0C5B1030">
      <w:pPr>
        <w:pStyle w:val="20"/>
        <w:tabs>
          <w:tab w:val="left" w:pos="1395"/>
        </w:tabs>
        <w:spacing w:line="360" w:lineRule="auto"/>
        <w:jc w:val="both"/>
        <w:rPr>
          <w:rFonts w:hint="eastAsia" w:ascii="宋体" w:hAnsi="宋体"/>
          <w:color w:val="auto"/>
          <w:sz w:val="21"/>
          <w:szCs w:val="21"/>
        </w:rPr>
      </w:pPr>
      <w:r>
        <w:rPr>
          <w:rFonts w:hint="eastAsia" w:ascii="宋体" w:hAnsi="宋体"/>
          <w:color w:val="auto"/>
          <w:sz w:val="21"/>
          <w:szCs w:val="21"/>
        </w:rPr>
        <w:t>8.5 如甲方未按本合同约定向乙方发出采购指令达到30日的，乙方有权办理提存，本合同标的产品自乙方办理提存之日起视为已由甲方签收，提存费用均由甲方自行承担，且本合同标的产品毁损、灭失的风险自乙方办理完毕提存之日起转移至甲方。</w:t>
      </w:r>
    </w:p>
    <w:p w14:paraId="10B6F501">
      <w:pPr>
        <w:pStyle w:val="20"/>
        <w:tabs>
          <w:tab w:val="left" w:pos="1395"/>
        </w:tabs>
        <w:spacing w:line="360" w:lineRule="auto"/>
        <w:jc w:val="both"/>
        <w:rPr>
          <w:rFonts w:hint="eastAsia" w:ascii="宋体" w:hAnsi="宋体"/>
          <w:b/>
          <w:color w:val="auto"/>
          <w:sz w:val="21"/>
          <w:szCs w:val="21"/>
        </w:rPr>
      </w:pPr>
      <w:r>
        <w:rPr>
          <w:rFonts w:hint="eastAsia" w:ascii="宋体" w:hAnsi="宋体"/>
          <w:b/>
          <w:color w:val="auto"/>
          <w:sz w:val="21"/>
          <w:szCs w:val="21"/>
        </w:rPr>
        <w:t>九</w:t>
      </w:r>
      <w:r>
        <w:rPr>
          <w:rFonts w:ascii="宋体" w:hAnsi="宋体"/>
          <w:b/>
          <w:color w:val="auto"/>
          <w:sz w:val="21"/>
          <w:szCs w:val="21"/>
        </w:rPr>
        <w:t>、</w:t>
      </w:r>
      <w:r>
        <w:rPr>
          <w:rFonts w:hint="eastAsia" w:ascii="宋体" w:hAnsi="宋体"/>
          <w:b/>
          <w:color w:val="auto"/>
          <w:sz w:val="21"/>
          <w:szCs w:val="21"/>
        </w:rPr>
        <w:t xml:space="preserve">   保险</w:t>
      </w:r>
    </w:p>
    <w:p w14:paraId="60DAF021">
      <w:pPr>
        <w:pStyle w:val="20"/>
        <w:tabs>
          <w:tab w:val="left" w:pos="1395"/>
        </w:tabs>
        <w:spacing w:line="360" w:lineRule="auto"/>
        <w:ind w:firstLine="420" w:firstLineChars="200"/>
        <w:jc w:val="both"/>
        <w:rPr>
          <w:rFonts w:hint="eastAsia" w:ascii="宋体" w:hAnsi="宋体"/>
          <w:color w:val="auto"/>
          <w:sz w:val="21"/>
        </w:rPr>
      </w:pPr>
      <w:r>
        <w:rPr>
          <w:rFonts w:hint="eastAsia" w:ascii="宋体" w:hAnsi="宋体"/>
          <w:color w:val="auto"/>
          <w:sz w:val="21"/>
        </w:rPr>
        <w:t>本合同下提供的货物应当对其在制造、购置、运输、存放及交货过程中的丢失或者损坏以人民币投保全面保险，交货前的一切保险由乙方负责。</w:t>
      </w:r>
    </w:p>
    <w:p w14:paraId="0D82E546">
      <w:pPr>
        <w:pStyle w:val="20"/>
        <w:tabs>
          <w:tab w:val="left" w:pos="1395"/>
        </w:tabs>
        <w:spacing w:line="360" w:lineRule="auto"/>
        <w:jc w:val="both"/>
        <w:rPr>
          <w:rFonts w:hint="eastAsia" w:ascii="宋体" w:hAnsi="宋体"/>
          <w:b/>
          <w:color w:val="auto"/>
          <w:sz w:val="21"/>
        </w:rPr>
      </w:pPr>
      <w:r>
        <w:rPr>
          <w:rFonts w:hint="eastAsia" w:ascii="宋体" w:hAnsi="宋体"/>
          <w:b/>
          <w:color w:val="auto"/>
          <w:sz w:val="21"/>
        </w:rPr>
        <w:t>十</w:t>
      </w:r>
      <w:r>
        <w:rPr>
          <w:rFonts w:ascii="宋体" w:hAnsi="宋体"/>
          <w:b/>
          <w:color w:val="auto"/>
          <w:sz w:val="21"/>
        </w:rPr>
        <w:t>、</w:t>
      </w:r>
      <w:r>
        <w:rPr>
          <w:rFonts w:hint="eastAsia" w:ascii="宋体" w:hAnsi="宋体"/>
          <w:b/>
          <w:color w:val="auto"/>
          <w:sz w:val="21"/>
        </w:rPr>
        <w:t xml:space="preserve">   运输</w:t>
      </w:r>
    </w:p>
    <w:p w14:paraId="4FCA1677">
      <w:pPr>
        <w:pStyle w:val="20"/>
        <w:tabs>
          <w:tab w:val="left" w:pos="1395"/>
        </w:tabs>
        <w:spacing w:line="360" w:lineRule="auto"/>
        <w:ind w:firstLine="420" w:firstLineChars="200"/>
        <w:jc w:val="both"/>
        <w:rPr>
          <w:rFonts w:hint="eastAsia" w:ascii="宋体" w:hAnsi="宋体"/>
          <w:color w:val="auto"/>
          <w:sz w:val="21"/>
          <w:szCs w:val="21"/>
        </w:rPr>
      </w:pPr>
      <w:r>
        <w:rPr>
          <w:rFonts w:hint="eastAsia" w:ascii="宋体" w:hAnsi="宋体"/>
          <w:color w:val="auto"/>
          <w:sz w:val="21"/>
        </w:rPr>
        <w:t>乙方将货物运至甲方指定的目的地或者项目现场，乙方应当负责办理、支付将货物运至目的地或者项目现场，包括合同条款规定的保险和存储在内的一切事项，有关费用应当包括在合同价中。</w:t>
      </w:r>
    </w:p>
    <w:p w14:paraId="7DB2FB15">
      <w:pPr>
        <w:pStyle w:val="20"/>
        <w:tabs>
          <w:tab w:val="left" w:pos="1395"/>
        </w:tabs>
        <w:spacing w:line="360" w:lineRule="auto"/>
        <w:jc w:val="both"/>
        <w:rPr>
          <w:rFonts w:hint="eastAsia" w:ascii="宋体" w:hAnsi="宋体"/>
          <w:b/>
          <w:color w:val="auto"/>
          <w:sz w:val="21"/>
          <w:szCs w:val="21"/>
        </w:rPr>
      </w:pPr>
      <w:r>
        <w:rPr>
          <w:rFonts w:hint="eastAsia" w:ascii="宋体" w:hAnsi="宋体"/>
          <w:b/>
          <w:color w:val="auto"/>
          <w:sz w:val="21"/>
          <w:szCs w:val="21"/>
        </w:rPr>
        <w:t>十一</w:t>
      </w:r>
      <w:r>
        <w:rPr>
          <w:rFonts w:ascii="宋体" w:hAnsi="宋体"/>
          <w:b/>
          <w:color w:val="auto"/>
          <w:sz w:val="21"/>
          <w:szCs w:val="21"/>
        </w:rPr>
        <w:t>、</w:t>
      </w:r>
      <w:r>
        <w:rPr>
          <w:rFonts w:hint="eastAsia" w:ascii="宋体" w:hAnsi="宋体"/>
          <w:b/>
          <w:color w:val="auto"/>
          <w:sz w:val="21"/>
          <w:szCs w:val="21"/>
        </w:rPr>
        <w:t xml:space="preserve">  </w:t>
      </w:r>
      <w:r>
        <w:rPr>
          <w:rFonts w:ascii="宋体" w:hAnsi="宋体"/>
          <w:b/>
          <w:color w:val="auto"/>
          <w:sz w:val="21"/>
          <w:szCs w:val="21"/>
        </w:rPr>
        <w:t>伴随服务</w:t>
      </w:r>
    </w:p>
    <w:p w14:paraId="49D630E3">
      <w:pPr>
        <w:pStyle w:val="21"/>
        <w:ind w:firstLine="0" w:firstLineChars="0"/>
        <w:rPr>
          <w:rFonts w:hint="eastAsia" w:ascii="宋体" w:hAnsi="宋体"/>
          <w:color w:val="auto"/>
          <w:sz w:val="21"/>
        </w:rPr>
      </w:pPr>
      <w:r>
        <w:rPr>
          <w:rFonts w:hint="eastAsia" w:ascii="宋体" w:hAnsi="宋体"/>
          <w:color w:val="auto"/>
          <w:sz w:val="21"/>
        </w:rPr>
        <w:t>11.1 乙方需提供下列</w:t>
      </w:r>
      <w:r>
        <w:rPr>
          <w:rFonts w:ascii="宋体" w:hAnsi="宋体"/>
          <w:color w:val="auto"/>
          <w:sz w:val="21"/>
        </w:rPr>
        <w:t>服务</w:t>
      </w:r>
    </w:p>
    <w:p w14:paraId="16377C78">
      <w:pPr>
        <w:pStyle w:val="21"/>
        <w:ind w:firstLine="0" w:firstLineChars="0"/>
        <w:rPr>
          <w:rFonts w:hint="eastAsia" w:ascii="宋体" w:hAnsi="宋体"/>
          <w:color w:val="auto"/>
          <w:sz w:val="21"/>
        </w:rPr>
      </w:pPr>
      <w:r>
        <w:rPr>
          <w:rFonts w:ascii="宋体" w:hAnsi="宋体"/>
          <w:color w:val="auto"/>
          <w:sz w:val="21"/>
        </w:rPr>
        <w:t xml:space="preserve">11.1.1 </w:t>
      </w:r>
      <w:r>
        <w:rPr>
          <w:rFonts w:hint="eastAsia" w:ascii="宋体" w:hAnsi="宋体"/>
          <w:color w:val="auto"/>
          <w:sz w:val="21"/>
        </w:rPr>
        <w:t>实施或者监督所供货物的现场组装和试运行；</w:t>
      </w:r>
    </w:p>
    <w:p w14:paraId="794ECDDC">
      <w:pPr>
        <w:pStyle w:val="21"/>
        <w:ind w:firstLine="0" w:firstLineChars="0"/>
        <w:rPr>
          <w:rFonts w:hint="eastAsia" w:ascii="宋体" w:hAnsi="宋体"/>
          <w:color w:val="auto"/>
          <w:sz w:val="21"/>
        </w:rPr>
      </w:pPr>
      <w:r>
        <w:rPr>
          <w:rFonts w:ascii="宋体" w:hAnsi="宋体"/>
          <w:color w:val="auto"/>
          <w:sz w:val="21"/>
        </w:rPr>
        <w:t xml:space="preserve">11.1.2 </w:t>
      </w:r>
      <w:r>
        <w:rPr>
          <w:rFonts w:hint="eastAsia" w:ascii="宋体" w:hAnsi="宋体"/>
          <w:color w:val="auto"/>
          <w:sz w:val="21"/>
        </w:rPr>
        <w:t>提供货物安装和维修所需的工具；</w:t>
      </w:r>
    </w:p>
    <w:p w14:paraId="6455EBE2">
      <w:pPr>
        <w:pStyle w:val="21"/>
        <w:ind w:firstLine="0" w:firstLineChars="0"/>
        <w:rPr>
          <w:rFonts w:hint="eastAsia" w:ascii="宋体" w:hAnsi="宋体"/>
          <w:color w:val="auto"/>
          <w:sz w:val="21"/>
        </w:rPr>
      </w:pPr>
      <w:r>
        <w:rPr>
          <w:rFonts w:ascii="宋体" w:hAnsi="宋体"/>
          <w:color w:val="auto"/>
          <w:sz w:val="21"/>
        </w:rPr>
        <w:t xml:space="preserve">11.1.3 </w:t>
      </w:r>
      <w:r>
        <w:rPr>
          <w:rFonts w:hint="eastAsia" w:ascii="宋体" w:hAnsi="宋体"/>
          <w:color w:val="auto"/>
          <w:sz w:val="21"/>
        </w:rPr>
        <w:t>为所供货物的每一适当的单台设备提供详细的操作和维护手册；</w:t>
      </w:r>
    </w:p>
    <w:p w14:paraId="31B52CC4">
      <w:pPr>
        <w:pStyle w:val="21"/>
        <w:ind w:firstLine="0" w:firstLineChars="0"/>
        <w:rPr>
          <w:rFonts w:hint="eastAsia" w:ascii="宋体" w:hAnsi="宋体"/>
          <w:color w:val="auto"/>
          <w:sz w:val="21"/>
        </w:rPr>
      </w:pPr>
      <w:r>
        <w:rPr>
          <w:rFonts w:ascii="宋体" w:hAnsi="宋体"/>
          <w:color w:val="auto"/>
          <w:sz w:val="21"/>
        </w:rPr>
        <w:t xml:space="preserve">11.1.4 </w:t>
      </w:r>
      <w:r>
        <w:rPr>
          <w:rFonts w:hint="eastAsia" w:ascii="宋体" w:hAnsi="宋体"/>
          <w:color w:val="auto"/>
          <w:sz w:val="21"/>
        </w:rPr>
        <w:t>在双方商定的一定期限内对所供货物实施运行或者监督或者维护或者修理，但前提条件是该服务并不能免除乙方在合同保证期内所承担的义务。</w:t>
      </w:r>
    </w:p>
    <w:p w14:paraId="6D959763">
      <w:pPr>
        <w:pStyle w:val="21"/>
        <w:ind w:firstLine="0" w:firstLineChars="0"/>
        <w:rPr>
          <w:rFonts w:hint="eastAsia" w:ascii="宋体" w:hAnsi="宋体"/>
          <w:color w:val="auto"/>
          <w:sz w:val="21"/>
        </w:rPr>
      </w:pPr>
      <w:r>
        <w:rPr>
          <w:rFonts w:hint="eastAsia" w:ascii="宋体" w:hAnsi="宋体"/>
          <w:color w:val="auto"/>
          <w:sz w:val="21"/>
        </w:rPr>
        <w:t>11.1.5系统集成与技术服务</w:t>
      </w:r>
    </w:p>
    <w:p w14:paraId="7DF949BA">
      <w:pPr>
        <w:pStyle w:val="21"/>
        <w:ind w:firstLine="0" w:firstLineChars="0"/>
        <w:rPr>
          <w:rFonts w:hint="eastAsia" w:ascii="宋体" w:hAnsi="宋体"/>
          <w:color w:val="auto"/>
          <w:sz w:val="21"/>
        </w:rPr>
      </w:pPr>
      <w:r>
        <w:rPr>
          <w:rFonts w:hint="eastAsia" w:ascii="宋体" w:hAnsi="宋体"/>
          <w:color w:val="auto"/>
          <w:sz w:val="21"/>
        </w:rPr>
        <w:t>（1）方案设计：负责 400G OTN 系统整体方案、光路设计、电中继优化、OSNR/Q 值计算、机房电源配置设计。</w:t>
      </w:r>
    </w:p>
    <w:p w14:paraId="5F8E68E4">
      <w:pPr>
        <w:pStyle w:val="21"/>
        <w:ind w:firstLine="0" w:firstLineChars="0"/>
        <w:rPr>
          <w:rFonts w:hint="eastAsia" w:ascii="宋体" w:hAnsi="宋体"/>
          <w:color w:val="auto"/>
          <w:sz w:val="21"/>
        </w:rPr>
      </w:pPr>
      <w:r>
        <w:rPr>
          <w:rFonts w:hint="eastAsia" w:ascii="宋体" w:hAnsi="宋体"/>
          <w:color w:val="auto"/>
          <w:sz w:val="21"/>
        </w:rPr>
        <w:t>（2）安装调试：免费完成机柜、设备、线缆、电源安装，单机 / 系统调测、光层开通、业务配置、保护倒换测试、性能指标测试。</w:t>
      </w:r>
    </w:p>
    <w:p w14:paraId="755AEAA3">
      <w:pPr>
        <w:pStyle w:val="21"/>
        <w:ind w:firstLine="0" w:firstLineChars="0"/>
        <w:rPr>
          <w:rFonts w:hint="eastAsia" w:ascii="宋体" w:hAnsi="宋体"/>
          <w:color w:val="auto"/>
          <w:sz w:val="21"/>
        </w:rPr>
      </w:pPr>
      <w:r>
        <w:rPr>
          <w:rFonts w:hint="eastAsia" w:ascii="宋体" w:hAnsi="宋体"/>
          <w:color w:val="auto"/>
          <w:sz w:val="21"/>
        </w:rPr>
        <w:t>（3）试运行保障：6 个月试运行期内全程驻场保障，7×24 小时监控，及时处理故障。</w:t>
      </w:r>
    </w:p>
    <w:p w14:paraId="14471B40">
      <w:pPr>
        <w:pStyle w:val="21"/>
        <w:ind w:firstLine="0" w:firstLineChars="0"/>
        <w:rPr>
          <w:rFonts w:hint="eastAsia" w:ascii="宋体" w:hAnsi="宋体"/>
          <w:color w:val="auto"/>
          <w:sz w:val="21"/>
        </w:rPr>
      </w:pPr>
      <w:r>
        <w:rPr>
          <w:rFonts w:ascii="宋体" w:hAnsi="宋体"/>
          <w:color w:val="auto"/>
          <w:sz w:val="21"/>
        </w:rPr>
        <w:t>（4）技术培训：免费提供现场操作、维护、故障处理培训，确保甲方人员独立运维。</w:t>
      </w:r>
    </w:p>
    <w:p w14:paraId="22C35758">
      <w:pPr>
        <w:pStyle w:val="21"/>
        <w:ind w:firstLine="0" w:firstLineChars="0"/>
        <w:rPr>
          <w:rFonts w:hint="eastAsia" w:ascii="宋体" w:hAnsi="宋体"/>
          <w:color w:val="auto"/>
          <w:sz w:val="21"/>
        </w:rPr>
      </w:pPr>
      <w:r>
        <w:rPr>
          <w:rFonts w:ascii="宋体" w:hAnsi="宋体"/>
          <w:color w:val="auto"/>
          <w:sz w:val="21"/>
        </w:rPr>
        <w:t xml:space="preserve">11.2 </w:t>
      </w:r>
      <w:r>
        <w:rPr>
          <w:rFonts w:hint="eastAsia" w:ascii="宋体" w:hAnsi="宋体"/>
          <w:color w:val="auto"/>
          <w:sz w:val="21"/>
        </w:rPr>
        <w:t>乙方和厂家在项目现场就所供货物的组装、试运行、运行、维护和修理对甲方人员进行培训。</w:t>
      </w:r>
    </w:p>
    <w:p w14:paraId="195AFF5E">
      <w:pPr>
        <w:pStyle w:val="20"/>
        <w:tabs>
          <w:tab w:val="left" w:pos="1395"/>
        </w:tabs>
        <w:spacing w:line="360" w:lineRule="auto"/>
        <w:jc w:val="both"/>
        <w:rPr>
          <w:rFonts w:hint="eastAsia" w:ascii="宋体" w:hAnsi="宋体"/>
          <w:color w:val="auto"/>
          <w:sz w:val="21"/>
        </w:rPr>
      </w:pPr>
      <w:r>
        <w:rPr>
          <w:rFonts w:ascii="宋体" w:hAnsi="宋体"/>
          <w:color w:val="auto"/>
          <w:sz w:val="21"/>
        </w:rPr>
        <w:t xml:space="preserve">11.3 </w:t>
      </w:r>
      <w:r>
        <w:rPr>
          <w:rFonts w:hint="eastAsia" w:ascii="宋体" w:hAnsi="宋体"/>
          <w:color w:val="auto"/>
          <w:sz w:val="21"/>
        </w:rPr>
        <w:t>乙方应当提供合同条款中规定的所有服务。为履行要求的伴随服务的报价或者双方商定的费用应当包括在总合同价中。</w:t>
      </w:r>
    </w:p>
    <w:p w14:paraId="527390EB">
      <w:pPr>
        <w:pStyle w:val="20"/>
        <w:tabs>
          <w:tab w:val="left" w:pos="1395"/>
        </w:tabs>
        <w:spacing w:line="360" w:lineRule="auto"/>
        <w:jc w:val="both"/>
        <w:rPr>
          <w:rFonts w:hint="eastAsia" w:ascii="宋体" w:hAnsi="宋体"/>
          <w:b/>
          <w:color w:val="auto"/>
          <w:sz w:val="21"/>
        </w:rPr>
      </w:pPr>
      <w:r>
        <w:rPr>
          <w:rFonts w:hint="eastAsia" w:ascii="宋体" w:hAnsi="宋体"/>
          <w:b/>
          <w:color w:val="auto"/>
          <w:sz w:val="21"/>
        </w:rPr>
        <w:t>十二</w:t>
      </w:r>
      <w:r>
        <w:rPr>
          <w:rFonts w:ascii="宋体" w:hAnsi="宋体"/>
          <w:b/>
          <w:color w:val="auto"/>
          <w:sz w:val="21"/>
        </w:rPr>
        <w:t>、</w:t>
      </w:r>
      <w:r>
        <w:rPr>
          <w:rFonts w:hint="eastAsia" w:ascii="宋体" w:hAnsi="宋体"/>
          <w:b/>
          <w:color w:val="auto"/>
          <w:sz w:val="21"/>
        </w:rPr>
        <w:t xml:space="preserve">  备品备件</w:t>
      </w:r>
    </w:p>
    <w:p w14:paraId="6F640125">
      <w:pPr>
        <w:pStyle w:val="21"/>
        <w:ind w:firstLine="0" w:firstLineChars="0"/>
        <w:rPr>
          <w:rFonts w:hint="eastAsia" w:ascii="宋体" w:hAnsi="宋体"/>
          <w:color w:val="auto"/>
          <w:sz w:val="21"/>
        </w:rPr>
      </w:pPr>
      <w:r>
        <w:rPr>
          <w:rFonts w:ascii="宋体" w:hAnsi="宋体"/>
          <w:color w:val="auto"/>
          <w:sz w:val="21"/>
        </w:rPr>
        <w:t xml:space="preserve">12.1 </w:t>
      </w:r>
      <w:r>
        <w:rPr>
          <w:rFonts w:hint="eastAsia" w:ascii="宋体" w:hAnsi="宋体"/>
          <w:color w:val="auto"/>
          <w:sz w:val="21"/>
        </w:rPr>
        <w:t>甲方从乙方选购备件，但前提条件是该选择并不能免除乙方在合同保证期内所承担的义务；</w:t>
      </w:r>
    </w:p>
    <w:p w14:paraId="056FF31C">
      <w:pPr>
        <w:pStyle w:val="21"/>
        <w:ind w:firstLine="0" w:firstLineChars="0"/>
        <w:rPr>
          <w:rFonts w:hint="eastAsia" w:ascii="宋体" w:hAnsi="宋体"/>
          <w:color w:val="auto"/>
          <w:sz w:val="21"/>
        </w:rPr>
      </w:pPr>
      <w:r>
        <w:rPr>
          <w:rFonts w:ascii="宋体" w:hAnsi="宋体"/>
          <w:color w:val="auto"/>
          <w:sz w:val="21"/>
        </w:rPr>
        <w:t xml:space="preserve">12.2 </w:t>
      </w:r>
      <w:r>
        <w:rPr>
          <w:rFonts w:hint="eastAsia" w:ascii="宋体" w:hAnsi="宋体"/>
          <w:color w:val="auto"/>
          <w:sz w:val="21"/>
        </w:rPr>
        <w:t>在备件停止生产的情况下，乙方应当事先将要停止生产的计划通知甲方使甲方有足够的时间采购所需的备件；</w:t>
      </w:r>
    </w:p>
    <w:p w14:paraId="7D9D437B">
      <w:pPr>
        <w:pStyle w:val="20"/>
        <w:tabs>
          <w:tab w:val="left" w:pos="1395"/>
        </w:tabs>
        <w:spacing w:line="360" w:lineRule="auto"/>
        <w:jc w:val="both"/>
        <w:rPr>
          <w:rFonts w:hint="eastAsia" w:ascii="宋体" w:hAnsi="宋体"/>
          <w:b/>
          <w:color w:val="auto"/>
          <w:spacing w:val="6"/>
          <w:sz w:val="21"/>
        </w:rPr>
      </w:pPr>
      <w:r>
        <w:rPr>
          <w:rFonts w:hint="eastAsia" w:ascii="宋体" w:hAnsi="宋体"/>
          <w:b/>
          <w:color w:val="auto"/>
          <w:spacing w:val="6"/>
          <w:sz w:val="21"/>
        </w:rPr>
        <w:t>十三</w:t>
      </w:r>
      <w:r>
        <w:rPr>
          <w:rFonts w:ascii="宋体" w:hAnsi="宋体"/>
          <w:b/>
          <w:color w:val="auto"/>
          <w:spacing w:val="6"/>
          <w:sz w:val="21"/>
        </w:rPr>
        <w:t>、</w:t>
      </w:r>
      <w:r>
        <w:rPr>
          <w:rFonts w:hint="eastAsia" w:ascii="宋体" w:hAnsi="宋体"/>
          <w:b/>
          <w:color w:val="auto"/>
          <w:spacing w:val="6"/>
          <w:sz w:val="21"/>
        </w:rPr>
        <w:t xml:space="preserve">  乙方</w:t>
      </w:r>
      <w:r>
        <w:rPr>
          <w:rFonts w:ascii="宋体" w:hAnsi="宋体"/>
          <w:b/>
          <w:color w:val="auto"/>
          <w:spacing w:val="6"/>
          <w:sz w:val="21"/>
        </w:rPr>
        <w:t>保证</w:t>
      </w:r>
    </w:p>
    <w:p w14:paraId="37E8761E">
      <w:pPr>
        <w:pStyle w:val="20"/>
        <w:tabs>
          <w:tab w:val="left" w:pos="1395"/>
        </w:tabs>
        <w:spacing w:line="360" w:lineRule="auto"/>
        <w:jc w:val="both"/>
        <w:rPr>
          <w:rFonts w:hint="eastAsia" w:ascii="宋体" w:hAnsi="宋体"/>
          <w:b/>
          <w:color w:val="auto"/>
          <w:spacing w:val="6"/>
          <w:sz w:val="21"/>
        </w:rPr>
      </w:pPr>
      <w:r>
        <w:rPr>
          <w:rFonts w:ascii="宋体" w:hAnsi="宋体"/>
          <w:color w:val="auto"/>
          <w:sz w:val="21"/>
          <w:szCs w:val="21"/>
        </w:rPr>
        <w:t xml:space="preserve">13.1 </w:t>
      </w:r>
      <w:r>
        <w:rPr>
          <w:rFonts w:hint="eastAsia" w:ascii="宋体" w:hAnsi="宋体"/>
          <w:color w:val="auto"/>
          <w:sz w:val="21"/>
          <w:szCs w:val="21"/>
        </w:rPr>
        <w:t>乙方有权签订本合同，其对本合同的履行不会违反对乙方有约束力的任何合同条款、义务、法律、规章或法令。</w:t>
      </w:r>
      <w:r>
        <w:rPr>
          <w:rFonts w:ascii="宋体" w:hAnsi="宋体"/>
          <w:color w:val="auto"/>
          <w:sz w:val="21"/>
          <w:szCs w:val="21"/>
        </w:rPr>
        <w:t xml:space="preserve"> </w:t>
      </w:r>
    </w:p>
    <w:p w14:paraId="7A3F224A">
      <w:pPr>
        <w:pStyle w:val="20"/>
        <w:spacing w:line="360" w:lineRule="auto"/>
        <w:jc w:val="both"/>
        <w:rPr>
          <w:rFonts w:hint="eastAsia" w:ascii="宋体" w:hAnsi="宋体"/>
          <w:color w:val="auto"/>
          <w:sz w:val="21"/>
          <w:szCs w:val="21"/>
        </w:rPr>
      </w:pPr>
      <w:r>
        <w:rPr>
          <w:rFonts w:ascii="宋体" w:hAnsi="宋体"/>
          <w:color w:val="auto"/>
          <w:sz w:val="21"/>
          <w:szCs w:val="21"/>
        </w:rPr>
        <w:t xml:space="preserve">13.2 </w:t>
      </w:r>
      <w:r>
        <w:rPr>
          <w:rFonts w:hint="eastAsia" w:ascii="宋体" w:hAnsi="宋体"/>
          <w:color w:val="auto"/>
          <w:sz w:val="21"/>
          <w:szCs w:val="21"/>
        </w:rPr>
        <w:t>不存在针对或危及乙方的，将对本合同项下甲方权利构成影响的索赔、留置或诉讼。</w:t>
      </w:r>
    </w:p>
    <w:p w14:paraId="25227FE3">
      <w:pPr>
        <w:pStyle w:val="20"/>
        <w:spacing w:line="360" w:lineRule="auto"/>
        <w:jc w:val="both"/>
        <w:rPr>
          <w:rFonts w:hint="eastAsia" w:ascii="宋体" w:hAnsi="宋体"/>
          <w:color w:val="auto"/>
          <w:sz w:val="21"/>
          <w:szCs w:val="21"/>
        </w:rPr>
      </w:pPr>
      <w:r>
        <w:rPr>
          <w:rFonts w:ascii="宋体" w:hAnsi="宋体"/>
          <w:color w:val="auto"/>
          <w:sz w:val="21"/>
          <w:szCs w:val="21"/>
        </w:rPr>
        <w:t xml:space="preserve">13.3 </w:t>
      </w:r>
      <w:r>
        <w:rPr>
          <w:rFonts w:hint="eastAsia" w:ascii="宋体" w:hAnsi="宋体"/>
          <w:color w:val="auto"/>
          <w:sz w:val="21"/>
          <w:szCs w:val="21"/>
        </w:rPr>
        <w:t>提供的产品不存在设计上、材料上和制造工艺上的缺陷。</w:t>
      </w:r>
    </w:p>
    <w:p w14:paraId="25A7F38D">
      <w:pPr>
        <w:pStyle w:val="20"/>
        <w:spacing w:line="360" w:lineRule="auto"/>
        <w:jc w:val="both"/>
        <w:rPr>
          <w:rFonts w:hint="eastAsia" w:ascii="宋体" w:hAnsi="宋体"/>
          <w:color w:val="auto"/>
          <w:sz w:val="21"/>
          <w:szCs w:val="21"/>
        </w:rPr>
      </w:pPr>
      <w:r>
        <w:rPr>
          <w:rFonts w:ascii="宋体" w:hAnsi="宋体"/>
          <w:color w:val="auto"/>
          <w:sz w:val="21"/>
          <w:szCs w:val="21"/>
        </w:rPr>
        <w:t xml:space="preserve">13.4 </w:t>
      </w:r>
      <w:r>
        <w:rPr>
          <w:rFonts w:hint="eastAsia" w:ascii="宋体" w:hAnsi="宋体"/>
          <w:color w:val="auto"/>
          <w:sz w:val="21"/>
          <w:szCs w:val="21"/>
        </w:rPr>
        <w:t>产品和服务符合本合同规定的要求，并能满足项目要求。</w:t>
      </w:r>
    </w:p>
    <w:p w14:paraId="76CCEA16">
      <w:pPr>
        <w:pStyle w:val="20"/>
        <w:spacing w:line="360" w:lineRule="auto"/>
        <w:jc w:val="both"/>
        <w:rPr>
          <w:rFonts w:hint="eastAsia" w:ascii="宋体" w:hAnsi="宋体"/>
          <w:color w:val="auto"/>
          <w:sz w:val="21"/>
          <w:szCs w:val="21"/>
        </w:rPr>
      </w:pPr>
      <w:r>
        <w:rPr>
          <w:rFonts w:ascii="宋体" w:hAnsi="宋体"/>
          <w:color w:val="auto"/>
          <w:sz w:val="21"/>
          <w:szCs w:val="21"/>
        </w:rPr>
        <w:t xml:space="preserve">13.5 </w:t>
      </w:r>
      <w:r>
        <w:rPr>
          <w:rFonts w:hint="eastAsia" w:ascii="宋体" w:hAnsi="宋体"/>
          <w:color w:val="auto"/>
          <w:sz w:val="21"/>
          <w:szCs w:val="21"/>
        </w:rPr>
        <w:t>产品是全新的且不包含任何用过的或修过的部件。</w:t>
      </w:r>
    </w:p>
    <w:p w14:paraId="24645344">
      <w:pPr>
        <w:pStyle w:val="20"/>
        <w:spacing w:line="360" w:lineRule="auto"/>
        <w:jc w:val="both"/>
        <w:rPr>
          <w:rFonts w:hint="eastAsia" w:ascii="宋体" w:hAnsi="宋体"/>
          <w:color w:val="auto"/>
          <w:sz w:val="21"/>
          <w:szCs w:val="21"/>
        </w:rPr>
      </w:pPr>
      <w:r>
        <w:rPr>
          <w:rFonts w:ascii="宋体" w:hAnsi="宋体"/>
          <w:color w:val="auto"/>
          <w:sz w:val="21"/>
          <w:szCs w:val="21"/>
        </w:rPr>
        <w:t xml:space="preserve">13.6 </w:t>
      </w:r>
      <w:r>
        <w:rPr>
          <w:rFonts w:hint="eastAsia" w:ascii="宋体" w:hAnsi="宋体"/>
          <w:color w:val="auto"/>
          <w:sz w:val="21"/>
          <w:szCs w:val="21"/>
        </w:rPr>
        <w:t>产品不侵犯任何第三方的知识产权。</w:t>
      </w:r>
    </w:p>
    <w:p w14:paraId="53F1E2B7">
      <w:pPr>
        <w:pStyle w:val="20"/>
        <w:spacing w:line="360" w:lineRule="auto"/>
        <w:jc w:val="both"/>
        <w:rPr>
          <w:rFonts w:hint="eastAsia" w:ascii="宋体" w:hAnsi="宋体"/>
          <w:color w:val="auto"/>
          <w:sz w:val="21"/>
          <w:szCs w:val="21"/>
        </w:rPr>
      </w:pPr>
      <w:r>
        <w:rPr>
          <w:rFonts w:ascii="宋体" w:hAnsi="宋体"/>
          <w:color w:val="auto"/>
          <w:sz w:val="21"/>
          <w:szCs w:val="21"/>
        </w:rPr>
        <w:t xml:space="preserve">13.7 </w:t>
      </w:r>
      <w:r>
        <w:rPr>
          <w:rFonts w:hint="eastAsia" w:ascii="宋体" w:hAnsi="宋体"/>
          <w:color w:val="auto"/>
          <w:sz w:val="21"/>
          <w:szCs w:val="21"/>
        </w:rPr>
        <w:t>乙方交给甲方的产品，均不超过相应的存储期限。</w:t>
      </w:r>
      <w:r>
        <w:rPr>
          <w:rFonts w:ascii="宋体" w:hAnsi="宋体"/>
          <w:color w:val="auto"/>
          <w:sz w:val="21"/>
          <w:szCs w:val="21"/>
        </w:rPr>
        <w:t xml:space="preserve">   </w:t>
      </w:r>
    </w:p>
    <w:p w14:paraId="38FDFB87">
      <w:pPr>
        <w:pStyle w:val="20"/>
        <w:spacing w:line="360" w:lineRule="auto"/>
        <w:jc w:val="both"/>
        <w:rPr>
          <w:rFonts w:hint="eastAsia" w:ascii="宋体" w:hAnsi="宋体"/>
          <w:color w:val="auto"/>
          <w:sz w:val="21"/>
          <w:szCs w:val="21"/>
        </w:rPr>
      </w:pPr>
      <w:r>
        <w:rPr>
          <w:rFonts w:ascii="宋体" w:hAnsi="宋体"/>
          <w:color w:val="auto"/>
          <w:sz w:val="21"/>
          <w:szCs w:val="21"/>
        </w:rPr>
        <w:t xml:space="preserve">13.8 </w:t>
      </w:r>
      <w:r>
        <w:rPr>
          <w:rFonts w:hint="eastAsia" w:ascii="宋体" w:hAnsi="宋体"/>
          <w:color w:val="auto"/>
          <w:sz w:val="21"/>
          <w:szCs w:val="21"/>
        </w:rPr>
        <w:t>本合同签署后的终验时间内，如甲方发现乙方有违了本合同约定的保证条款，甲方有权要求乙方采取下列一种或多种补救措施：</w:t>
      </w:r>
    </w:p>
    <w:p w14:paraId="79F70B92">
      <w:pPr>
        <w:pStyle w:val="20"/>
        <w:spacing w:line="360" w:lineRule="auto"/>
        <w:jc w:val="both"/>
        <w:rPr>
          <w:rFonts w:hint="eastAsia" w:ascii="宋体" w:hAnsi="宋体"/>
          <w:color w:val="auto"/>
          <w:sz w:val="21"/>
          <w:szCs w:val="21"/>
        </w:rPr>
      </w:pPr>
      <w:r>
        <w:rPr>
          <w:rFonts w:ascii="宋体" w:hAnsi="宋体"/>
          <w:color w:val="auto"/>
          <w:sz w:val="21"/>
          <w:szCs w:val="21"/>
        </w:rPr>
        <w:t>13.8</w:t>
      </w:r>
      <w:r>
        <w:rPr>
          <w:rFonts w:hint="eastAsia" w:ascii="宋体" w:hAnsi="宋体"/>
          <w:color w:val="auto"/>
          <w:sz w:val="21"/>
          <w:szCs w:val="21"/>
        </w:rPr>
        <w:t>.1 同意退货，并返还退货部分的货款，乙方并应承担由此发生的一切损失和费用，包括但不限于利息、银行手续费、运费、保险费、检验费、仓储费、装卸费以及为保管和保护被退货产品所支出的其它费用；</w:t>
      </w:r>
    </w:p>
    <w:p w14:paraId="5D763C40">
      <w:pPr>
        <w:tabs>
          <w:tab w:val="left" w:pos="1080"/>
        </w:tabs>
        <w:spacing w:line="360" w:lineRule="auto"/>
        <w:rPr>
          <w:rFonts w:hint="eastAsia" w:ascii="宋体" w:hAnsi="宋体" w:eastAsia="宋体"/>
          <w:color w:val="auto"/>
          <w:szCs w:val="21"/>
        </w:rPr>
      </w:pPr>
      <w:r>
        <w:rPr>
          <w:rFonts w:ascii="宋体" w:hAnsi="宋体"/>
          <w:color w:val="auto"/>
          <w:szCs w:val="21"/>
        </w:rPr>
        <w:t>13.8</w:t>
      </w:r>
      <w:r>
        <w:rPr>
          <w:rFonts w:hint="eastAsia" w:ascii="宋体" w:hAnsi="宋体"/>
          <w:color w:val="auto"/>
          <w:szCs w:val="21"/>
        </w:rPr>
        <w:t>.</w:t>
      </w:r>
      <w:r>
        <w:rPr>
          <w:rFonts w:ascii="宋体" w:hAnsi="宋体"/>
          <w:color w:val="auto"/>
          <w:szCs w:val="21"/>
        </w:rPr>
        <w:t>2</w:t>
      </w:r>
      <w:r>
        <w:rPr>
          <w:rFonts w:hint="eastAsia" w:ascii="宋体" w:hAnsi="宋体" w:eastAsia="宋体"/>
          <w:color w:val="auto"/>
          <w:szCs w:val="21"/>
        </w:rPr>
        <w:t>根据产品的瑕疵、损坏程度以及甲方所遭受损失的金额，经甲乙双方协商降低产品价格；</w:t>
      </w:r>
    </w:p>
    <w:p w14:paraId="1157F69C">
      <w:pPr>
        <w:tabs>
          <w:tab w:val="left" w:pos="1080"/>
        </w:tabs>
        <w:spacing w:line="360" w:lineRule="auto"/>
        <w:rPr>
          <w:rFonts w:hint="eastAsia" w:ascii="宋体" w:hAnsi="宋体" w:eastAsia="宋体"/>
          <w:color w:val="auto"/>
          <w:szCs w:val="21"/>
        </w:rPr>
      </w:pPr>
      <w:r>
        <w:rPr>
          <w:rFonts w:ascii="宋体" w:hAnsi="宋体"/>
          <w:color w:val="auto"/>
          <w:szCs w:val="21"/>
        </w:rPr>
        <w:t>13.8</w:t>
      </w:r>
      <w:r>
        <w:rPr>
          <w:rFonts w:hint="eastAsia" w:ascii="宋体" w:hAnsi="宋体"/>
          <w:color w:val="auto"/>
          <w:szCs w:val="21"/>
        </w:rPr>
        <w:t>.</w:t>
      </w:r>
      <w:r>
        <w:rPr>
          <w:rFonts w:ascii="宋体" w:hAnsi="宋体"/>
          <w:color w:val="auto"/>
          <w:szCs w:val="21"/>
        </w:rPr>
        <w:t>3</w:t>
      </w:r>
      <w:r>
        <w:rPr>
          <w:rFonts w:hint="eastAsia" w:ascii="宋体" w:hAnsi="宋体" w:eastAsia="宋体"/>
          <w:color w:val="auto"/>
          <w:szCs w:val="21"/>
        </w:rPr>
        <w:t>修理、更换有缺陷的零件、部件或设备，或重新提供服务，以符合本合同约定。乙方应承担由此引起的一切损失和费用。同时乙方应相应延长被更换产品的质量保证期，延长期限由甲乙双方商议后确定；</w:t>
      </w:r>
    </w:p>
    <w:p w14:paraId="10AC81CF">
      <w:pPr>
        <w:pStyle w:val="20"/>
        <w:tabs>
          <w:tab w:val="left" w:pos="1395"/>
        </w:tabs>
        <w:spacing w:line="360" w:lineRule="auto"/>
        <w:jc w:val="both"/>
        <w:rPr>
          <w:rFonts w:hint="eastAsia" w:ascii="宋体" w:hAnsi="宋体"/>
          <w:color w:val="auto"/>
          <w:sz w:val="21"/>
        </w:rPr>
      </w:pPr>
      <w:r>
        <w:rPr>
          <w:rFonts w:ascii="宋体" w:hAnsi="宋体"/>
          <w:color w:val="auto"/>
          <w:sz w:val="21"/>
          <w:szCs w:val="21"/>
        </w:rPr>
        <w:t>13.8</w:t>
      </w:r>
      <w:r>
        <w:rPr>
          <w:rFonts w:hint="eastAsia" w:ascii="宋体" w:hAnsi="宋体"/>
          <w:color w:val="auto"/>
          <w:sz w:val="21"/>
          <w:szCs w:val="21"/>
        </w:rPr>
        <w:t>.</w:t>
      </w:r>
      <w:r>
        <w:rPr>
          <w:rFonts w:ascii="宋体" w:hAnsi="宋体"/>
          <w:color w:val="auto"/>
          <w:sz w:val="21"/>
          <w:szCs w:val="21"/>
        </w:rPr>
        <w:t xml:space="preserve">4 </w:t>
      </w:r>
      <w:r>
        <w:rPr>
          <w:rFonts w:hint="eastAsia" w:ascii="宋体" w:hAnsi="宋体"/>
          <w:color w:val="auto"/>
          <w:sz w:val="21"/>
          <w:szCs w:val="21"/>
        </w:rPr>
        <w:t>赔偿甲方因此而遭受的损失，赔偿范围包括但不限于甲方向用户支付的赔偿金、甲方为此支付的人工费、差旅费、诉讼费、质量检测费和为实现赔偿而支付的律师费等。</w:t>
      </w:r>
    </w:p>
    <w:p w14:paraId="3F67596D">
      <w:pPr>
        <w:pStyle w:val="20"/>
        <w:tabs>
          <w:tab w:val="left" w:pos="1395"/>
        </w:tabs>
        <w:spacing w:line="360" w:lineRule="auto"/>
        <w:jc w:val="both"/>
        <w:rPr>
          <w:rFonts w:hint="eastAsia" w:ascii="宋体" w:hAnsi="宋体"/>
          <w:b/>
          <w:color w:val="auto"/>
          <w:spacing w:val="6"/>
          <w:sz w:val="21"/>
        </w:rPr>
      </w:pPr>
      <w:r>
        <w:rPr>
          <w:rFonts w:hint="eastAsia" w:ascii="宋体" w:hAnsi="宋体"/>
          <w:b/>
          <w:color w:val="auto"/>
          <w:spacing w:val="6"/>
          <w:sz w:val="21"/>
        </w:rPr>
        <w:t>十四</w:t>
      </w:r>
      <w:r>
        <w:rPr>
          <w:rFonts w:ascii="宋体" w:hAnsi="宋体"/>
          <w:b/>
          <w:color w:val="auto"/>
          <w:spacing w:val="6"/>
          <w:sz w:val="21"/>
        </w:rPr>
        <w:t>、</w:t>
      </w:r>
      <w:r>
        <w:rPr>
          <w:rFonts w:hint="eastAsia" w:ascii="宋体" w:hAnsi="宋体"/>
          <w:b/>
          <w:color w:val="auto"/>
          <w:spacing w:val="6"/>
          <w:sz w:val="21"/>
        </w:rPr>
        <w:t xml:space="preserve">  索赔</w:t>
      </w:r>
    </w:p>
    <w:p w14:paraId="2521DFDC">
      <w:pPr>
        <w:pStyle w:val="21"/>
        <w:ind w:firstLine="0" w:firstLineChars="0"/>
        <w:rPr>
          <w:rFonts w:hint="eastAsia" w:ascii="宋体" w:hAnsi="宋体"/>
          <w:color w:val="auto"/>
          <w:sz w:val="21"/>
        </w:rPr>
      </w:pPr>
      <w:r>
        <w:rPr>
          <w:rFonts w:ascii="宋体" w:hAnsi="宋体"/>
          <w:color w:val="auto"/>
          <w:sz w:val="21"/>
        </w:rPr>
        <w:t xml:space="preserve">14.1  </w:t>
      </w:r>
      <w:r>
        <w:rPr>
          <w:rFonts w:hint="eastAsia" w:ascii="宋体" w:hAnsi="宋体"/>
          <w:color w:val="auto"/>
          <w:sz w:val="21"/>
        </w:rPr>
        <w:t>如果乙方对偏差负有责任而甲方在第</w:t>
      </w:r>
      <w:r>
        <w:rPr>
          <w:rFonts w:ascii="宋体" w:hAnsi="宋体"/>
          <w:color w:val="auto"/>
          <w:sz w:val="21"/>
        </w:rPr>
        <w:t>13</w:t>
      </w:r>
      <w:r>
        <w:rPr>
          <w:rFonts w:hint="eastAsia" w:ascii="宋体" w:hAnsi="宋体"/>
          <w:color w:val="auto"/>
          <w:sz w:val="21"/>
        </w:rPr>
        <w:t>条或者合同的其他条款规定的检验、安装、调试、验收和质量保证期内提出了索赔，乙方应当按照以下方式结合起来解决索赔事宜：</w:t>
      </w:r>
    </w:p>
    <w:p w14:paraId="61CCE172">
      <w:pPr>
        <w:pStyle w:val="21"/>
        <w:ind w:firstLine="0" w:firstLineChars="0"/>
        <w:rPr>
          <w:rFonts w:hint="eastAsia" w:ascii="宋体" w:hAnsi="宋体"/>
          <w:color w:val="auto"/>
          <w:sz w:val="21"/>
        </w:rPr>
      </w:pPr>
      <w:r>
        <w:rPr>
          <w:rFonts w:ascii="宋体" w:hAnsi="宋体"/>
          <w:color w:val="auto"/>
          <w:sz w:val="21"/>
        </w:rPr>
        <w:t xml:space="preserve">14.1.1  </w:t>
      </w:r>
      <w:r>
        <w:rPr>
          <w:rFonts w:hint="eastAsia" w:ascii="宋体" w:hAnsi="宋体"/>
          <w:color w:val="auto"/>
          <w:sz w:val="21"/>
        </w:rPr>
        <w:t>乙方同意退货并用合同规定的货币将货款退还给甲方，并承担由此发生的一切损失和费用，包括但不限于利息、银行手续费、运费、保险费、检验费、仓储费、装卸费以及为看管和保护退回货物所需的其他必要费用。</w:t>
      </w:r>
    </w:p>
    <w:p w14:paraId="404E0A68">
      <w:pPr>
        <w:pStyle w:val="21"/>
        <w:ind w:firstLine="0" w:firstLineChars="0"/>
        <w:rPr>
          <w:rFonts w:hint="eastAsia" w:ascii="宋体" w:hAnsi="宋体"/>
          <w:color w:val="auto"/>
          <w:sz w:val="21"/>
        </w:rPr>
      </w:pPr>
      <w:r>
        <w:rPr>
          <w:rFonts w:ascii="宋体" w:hAnsi="宋体"/>
          <w:color w:val="auto"/>
          <w:sz w:val="21"/>
        </w:rPr>
        <w:t xml:space="preserve">14.1.2  </w:t>
      </w:r>
      <w:r>
        <w:rPr>
          <w:rFonts w:hint="eastAsia" w:ascii="宋体" w:hAnsi="宋体"/>
          <w:color w:val="auto"/>
          <w:sz w:val="21"/>
        </w:rPr>
        <w:t>根据货物的偏差情况，损坏程度以及买方所遭受损失的金额，经买卖双方商定降低货物的价格。</w:t>
      </w:r>
    </w:p>
    <w:p w14:paraId="2A3530F6">
      <w:pPr>
        <w:pStyle w:val="21"/>
        <w:ind w:firstLine="0" w:firstLineChars="0"/>
        <w:rPr>
          <w:rFonts w:hint="eastAsia" w:ascii="宋体" w:hAnsi="宋体"/>
          <w:color w:val="auto"/>
          <w:sz w:val="21"/>
        </w:rPr>
      </w:pPr>
      <w:r>
        <w:rPr>
          <w:rFonts w:ascii="宋体" w:hAnsi="宋体"/>
          <w:color w:val="auto"/>
          <w:sz w:val="21"/>
        </w:rPr>
        <w:t xml:space="preserve">14.1.3  </w:t>
      </w:r>
      <w:r>
        <w:rPr>
          <w:rFonts w:hint="eastAsia" w:ascii="宋体" w:hAnsi="宋体"/>
          <w:color w:val="auto"/>
          <w:sz w:val="21"/>
        </w:rPr>
        <w:t>用符合合同约定的规格、质量和性能要求的新零件、部件或者设备来更换有缺陷的部分和</w:t>
      </w:r>
      <w:r>
        <w:rPr>
          <w:rFonts w:ascii="宋体" w:hAnsi="宋体"/>
          <w:color w:val="auto"/>
          <w:sz w:val="21"/>
        </w:rPr>
        <w:t>/</w:t>
      </w:r>
      <w:r>
        <w:rPr>
          <w:rFonts w:hint="eastAsia" w:ascii="宋体" w:hAnsi="宋体"/>
          <w:color w:val="auto"/>
          <w:sz w:val="21"/>
        </w:rPr>
        <w:t>或者修补缺陷部分，乙方应当承担一切费用和风险并负担甲方蒙受的全部直接损失费用。同时，乙方应当按照第</w:t>
      </w:r>
      <w:r>
        <w:rPr>
          <w:rFonts w:ascii="宋体" w:hAnsi="宋体"/>
          <w:color w:val="auto"/>
          <w:sz w:val="21"/>
        </w:rPr>
        <w:t>13</w:t>
      </w:r>
      <w:r>
        <w:rPr>
          <w:rFonts w:hint="eastAsia" w:ascii="宋体" w:hAnsi="宋体"/>
          <w:color w:val="auto"/>
          <w:sz w:val="21"/>
        </w:rPr>
        <w:t>条规定，相应延长所更换货物的质量保证期。</w:t>
      </w:r>
    </w:p>
    <w:p w14:paraId="52DACA65">
      <w:pPr>
        <w:pStyle w:val="20"/>
        <w:tabs>
          <w:tab w:val="left" w:pos="1395"/>
        </w:tabs>
        <w:spacing w:line="360" w:lineRule="auto"/>
        <w:jc w:val="both"/>
        <w:rPr>
          <w:rFonts w:hint="eastAsia" w:ascii="宋体" w:hAnsi="宋体"/>
          <w:color w:val="auto"/>
          <w:sz w:val="21"/>
        </w:rPr>
      </w:pPr>
      <w:r>
        <w:rPr>
          <w:rFonts w:ascii="宋体" w:hAnsi="宋体"/>
          <w:color w:val="auto"/>
          <w:sz w:val="21"/>
        </w:rPr>
        <w:t xml:space="preserve">14.2  </w:t>
      </w:r>
      <w:r>
        <w:rPr>
          <w:rFonts w:hint="eastAsia" w:ascii="宋体" w:hAnsi="宋体"/>
          <w:color w:val="auto"/>
          <w:sz w:val="21"/>
        </w:rPr>
        <w:t>甲方发出索赔通知后，在</w:t>
      </w:r>
      <w:r>
        <w:rPr>
          <w:rFonts w:hint="eastAsia" w:ascii="宋体" w:hAnsi="宋体"/>
          <w:color w:val="auto"/>
          <w:sz w:val="21"/>
          <w:u w:val="single"/>
        </w:rPr>
        <w:t>15个工作日</w:t>
      </w:r>
      <w:r>
        <w:rPr>
          <w:rFonts w:hint="eastAsia" w:ascii="宋体" w:hAnsi="宋体"/>
          <w:color w:val="auto"/>
          <w:sz w:val="21"/>
        </w:rPr>
        <w:t>期限内，或者甲方同意的延长期限内，乙方未能按照合同条款约定的方法解决索赔事宜，甲方将从未付货款或者乙方开具的履约保证金中扣回索赔金额。</w:t>
      </w:r>
    </w:p>
    <w:p w14:paraId="70D6F8BB">
      <w:pPr>
        <w:pStyle w:val="20"/>
        <w:tabs>
          <w:tab w:val="left" w:pos="1395"/>
        </w:tabs>
        <w:spacing w:line="360" w:lineRule="auto"/>
        <w:jc w:val="both"/>
        <w:rPr>
          <w:rFonts w:hint="eastAsia" w:ascii="宋体" w:hAnsi="宋体"/>
          <w:b/>
          <w:color w:val="auto"/>
          <w:sz w:val="21"/>
        </w:rPr>
      </w:pPr>
      <w:r>
        <w:rPr>
          <w:rFonts w:hint="eastAsia" w:ascii="宋体" w:hAnsi="宋体"/>
          <w:b/>
          <w:color w:val="auto"/>
          <w:sz w:val="21"/>
        </w:rPr>
        <w:t>十五</w:t>
      </w:r>
      <w:r>
        <w:rPr>
          <w:rFonts w:ascii="宋体" w:hAnsi="宋体"/>
          <w:b/>
          <w:color w:val="auto"/>
          <w:sz w:val="21"/>
        </w:rPr>
        <w:t>、</w:t>
      </w:r>
      <w:r>
        <w:rPr>
          <w:rFonts w:hint="eastAsia" w:ascii="宋体" w:hAnsi="宋体"/>
          <w:b/>
          <w:color w:val="auto"/>
          <w:sz w:val="21"/>
        </w:rPr>
        <w:t xml:space="preserve">  验收条件</w:t>
      </w:r>
    </w:p>
    <w:p w14:paraId="1ACB994B">
      <w:pPr>
        <w:pStyle w:val="20"/>
        <w:tabs>
          <w:tab w:val="left" w:pos="1395"/>
        </w:tabs>
        <w:spacing w:line="360" w:lineRule="auto"/>
        <w:jc w:val="both"/>
        <w:rPr>
          <w:rFonts w:hint="eastAsia" w:ascii="宋体" w:hAnsi="宋体"/>
          <w:color w:val="auto"/>
          <w:sz w:val="21"/>
          <w:szCs w:val="21"/>
        </w:rPr>
      </w:pPr>
      <w:r>
        <w:rPr>
          <w:rFonts w:ascii="宋体" w:hAnsi="宋体"/>
          <w:color w:val="auto"/>
          <w:sz w:val="21"/>
          <w:szCs w:val="21"/>
        </w:rPr>
        <w:t xml:space="preserve">15.1 </w:t>
      </w:r>
      <w:r>
        <w:rPr>
          <w:rFonts w:hint="eastAsia" w:ascii="宋体" w:hAnsi="宋体"/>
          <w:color w:val="auto"/>
          <w:sz w:val="21"/>
          <w:szCs w:val="21"/>
        </w:rPr>
        <w:t>出厂检验：乙方所供产品应通过原厂商的出厂测试和检验，交货同时向甲方提供质量合格证书及相关资料，如产品《安装说明》、《操作维护手册》等全部资料。</w:t>
      </w:r>
    </w:p>
    <w:p w14:paraId="1886FDAB">
      <w:pPr>
        <w:spacing w:line="360" w:lineRule="auto"/>
        <w:rPr>
          <w:rFonts w:hint="eastAsia" w:ascii="宋体" w:hAnsi="宋体" w:eastAsia="宋体"/>
          <w:color w:val="auto"/>
          <w:szCs w:val="21"/>
        </w:rPr>
      </w:pPr>
      <w:r>
        <w:rPr>
          <w:rFonts w:ascii="宋体" w:hAnsi="宋体" w:eastAsia="宋体"/>
          <w:color w:val="auto"/>
          <w:szCs w:val="21"/>
        </w:rPr>
        <w:t xml:space="preserve">15.2 </w:t>
      </w:r>
      <w:r>
        <w:rPr>
          <w:rFonts w:hint="eastAsia" w:ascii="宋体" w:hAnsi="宋体" w:eastAsia="宋体"/>
          <w:color w:val="auto"/>
          <w:szCs w:val="21"/>
        </w:rPr>
        <w:t>到货检验：</w:t>
      </w:r>
    </w:p>
    <w:p w14:paraId="27C21FD2">
      <w:pPr>
        <w:spacing w:line="360" w:lineRule="auto"/>
        <w:rPr>
          <w:rFonts w:hint="eastAsia" w:ascii="宋体" w:hAnsi="宋体" w:eastAsia="宋体"/>
          <w:color w:val="auto"/>
          <w:szCs w:val="21"/>
        </w:rPr>
      </w:pPr>
      <w:r>
        <w:rPr>
          <w:rFonts w:ascii="宋体" w:hAnsi="宋体" w:eastAsia="宋体"/>
          <w:color w:val="auto"/>
          <w:szCs w:val="21"/>
        </w:rPr>
        <w:t xml:space="preserve">15.2.1 </w:t>
      </w:r>
      <w:r>
        <w:rPr>
          <w:rFonts w:hint="eastAsia" w:ascii="宋体" w:hAnsi="宋体" w:eastAsia="宋体"/>
          <w:color w:val="auto"/>
          <w:szCs w:val="21"/>
        </w:rPr>
        <w:t>产品到货检验前乙方应向甲方提供检验的技术资料、产品序列号以及其他资料；</w:t>
      </w:r>
    </w:p>
    <w:p w14:paraId="15C69179">
      <w:pPr>
        <w:spacing w:line="360" w:lineRule="auto"/>
        <w:rPr>
          <w:rFonts w:hint="eastAsia" w:ascii="宋体" w:hAnsi="宋体" w:eastAsia="宋体"/>
          <w:color w:val="auto"/>
          <w:szCs w:val="21"/>
        </w:rPr>
      </w:pPr>
      <w:r>
        <w:rPr>
          <w:rFonts w:ascii="宋体" w:hAnsi="宋体" w:eastAsia="宋体"/>
          <w:color w:val="auto"/>
          <w:szCs w:val="21"/>
        </w:rPr>
        <w:t xml:space="preserve">15.2.2 </w:t>
      </w:r>
      <w:r>
        <w:rPr>
          <w:rFonts w:hint="eastAsia" w:ascii="宋体" w:hAnsi="宋体" w:eastAsia="宋体" w:cs="宋体-方正超大字符集"/>
          <w:color w:val="auto"/>
          <w:szCs w:val="21"/>
        </w:rPr>
        <w:t>产品送至甲方指定地点后</w:t>
      </w:r>
      <w:r>
        <w:rPr>
          <w:rFonts w:hint="eastAsia" w:ascii="宋体" w:hAnsi="宋体" w:eastAsia="宋体" w:cs="宋体-方正超大字符集"/>
          <w:color w:val="auto"/>
          <w:szCs w:val="21"/>
          <w:u w:val="single"/>
        </w:rPr>
        <w:t xml:space="preserve"> 3至5 个工作</w:t>
      </w:r>
      <w:r>
        <w:rPr>
          <w:rFonts w:hint="eastAsia" w:ascii="宋体" w:hAnsi="宋体" w:eastAsia="宋体" w:cs="宋体-方正超大字符集"/>
          <w:color w:val="auto"/>
          <w:szCs w:val="21"/>
        </w:rPr>
        <w:t>日内，甲方就产品的外包装及</w:t>
      </w:r>
      <w:r>
        <w:rPr>
          <w:rFonts w:hint="eastAsia" w:ascii="宋体" w:hAnsi="宋体" w:eastAsia="宋体"/>
          <w:color w:val="auto"/>
          <w:szCs w:val="21"/>
        </w:rPr>
        <w:t>品种、型号、数量进行检验，如无异议则签署《产品签收单》，若包装箱有破损、外型有明显摔伤痕迹，或</w:t>
      </w:r>
      <w:r>
        <w:rPr>
          <w:rFonts w:hint="eastAsia" w:ascii="宋体" w:hAnsi="宋体" w:eastAsia="宋体" w:cs="宋体-方正超大字符集"/>
          <w:color w:val="auto"/>
          <w:szCs w:val="21"/>
        </w:rPr>
        <w:t>产品的外包装及</w:t>
      </w:r>
      <w:r>
        <w:rPr>
          <w:rFonts w:hint="eastAsia" w:ascii="宋体" w:hAnsi="宋体" w:eastAsia="宋体"/>
          <w:color w:val="auto"/>
          <w:szCs w:val="21"/>
        </w:rPr>
        <w:t>品种、型号、数量与本合同约定不符时，甲方有权拒绝接受该产品。乙方应于</w:t>
      </w:r>
      <w:r>
        <w:rPr>
          <w:rFonts w:hint="eastAsia" w:ascii="宋体" w:hAnsi="宋体" w:eastAsia="宋体"/>
          <w:color w:val="auto"/>
          <w:szCs w:val="21"/>
          <w:u w:val="single"/>
        </w:rPr>
        <w:t xml:space="preserve"> 7  </w:t>
      </w:r>
      <w:r>
        <w:rPr>
          <w:rFonts w:hint="eastAsia" w:ascii="宋体" w:hAnsi="宋体" w:eastAsia="宋体"/>
          <w:color w:val="auto"/>
          <w:szCs w:val="21"/>
        </w:rPr>
        <w:t>个工作日内予以更换合格产品</w:t>
      </w:r>
      <w:r>
        <w:rPr>
          <w:rFonts w:hint="eastAsia" w:ascii="宋体" w:hAnsi="宋体" w:eastAsia="宋体" w:cs="宋体-方正超大字符集"/>
          <w:color w:val="auto"/>
          <w:szCs w:val="21"/>
        </w:rPr>
        <w:t>，由此发生的一切费用均由乙方自行承担</w:t>
      </w:r>
      <w:r>
        <w:rPr>
          <w:rFonts w:hint="eastAsia" w:ascii="宋体" w:hAnsi="宋体" w:eastAsia="宋体"/>
          <w:color w:val="auto"/>
          <w:szCs w:val="21"/>
        </w:rPr>
        <w:t>。如甲方因自身原因未在上述期限内完成检验并向乙方出具《产品签收单》的，则自甲方签收本合同全部标的产品之次日起视为甲方已完成检验并签收本合同全部标的产品。</w:t>
      </w:r>
    </w:p>
    <w:p w14:paraId="3E2C82BE">
      <w:pPr>
        <w:spacing w:line="360" w:lineRule="auto"/>
        <w:rPr>
          <w:rFonts w:hint="eastAsia" w:ascii="宋体" w:hAnsi="宋体" w:eastAsia="宋体"/>
          <w:color w:val="auto"/>
          <w:szCs w:val="21"/>
        </w:rPr>
      </w:pPr>
      <w:r>
        <w:rPr>
          <w:rFonts w:ascii="宋体" w:hAnsi="宋体" w:eastAsia="宋体"/>
          <w:color w:val="auto"/>
          <w:szCs w:val="21"/>
        </w:rPr>
        <w:t xml:space="preserve">15.3 </w:t>
      </w:r>
      <w:r>
        <w:rPr>
          <w:rFonts w:hint="eastAsia" w:ascii="宋体" w:hAnsi="宋体" w:eastAsia="宋体"/>
          <w:color w:val="auto"/>
          <w:szCs w:val="21"/>
        </w:rPr>
        <w:t>产品验收：</w:t>
      </w:r>
    </w:p>
    <w:p w14:paraId="408E30F6">
      <w:pPr>
        <w:spacing w:line="360" w:lineRule="auto"/>
        <w:rPr>
          <w:rFonts w:hint="eastAsia" w:ascii="宋体" w:hAnsi="宋体" w:eastAsia="宋体"/>
          <w:color w:val="auto"/>
          <w:szCs w:val="21"/>
        </w:rPr>
      </w:pPr>
      <w:r>
        <w:rPr>
          <w:rFonts w:ascii="宋体" w:hAnsi="宋体" w:eastAsia="宋体"/>
          <w:color w:val="auto"/>
          <w:szCs w:val="21"/>
        </w:rPr>
        <w:t>15.3.1</w:t>
      </w:r>
      <w:r>
        <w:rPr>
          <w:rFonts w:hint="eastAsia" w:ascii="宋体" w:hAnsi="宋体" w:eastAsia="宋体"/>
          <w:color w:val="auto"/>
          <w:szCs w:val="21"/>
        </w:rPr>
        <w:t>试运行验收</w:t>
      </w:r>
    </w:p>
    <w:p w14:paraId="52F64656">
      <w:pPr>
        <w:spacing w:line="360" w:lineRule="auto"/>
        <w:rPr>
          <w:rFonts w:hint="eastAsia" w:ascii="宋体" w:hAnsi="宋体" w:eastAsia="宋体"/>
          <w:color w:val="auto"/>
          <w:szCs w:val="21"/>
        </w:rPr>
      </w:pPr>
      <w:r>
        <w:rPr>
          <w:rFonts w:ascii="宋体" w:hAnsi="宋体" w:eastAsia="宋体"/>
          <w:color w:val="auto"/>
          <w:szCs w:val="21"/>
        </w:rPr>
        <w:t>系统调试完成后进入 6 个月试运行期，试运行期间性能稳定、无重大故障、业务正常，且插盘返修率≤0.1%、同种插盘故障率≤0.5%，视为试运行合格，方可进</w:t>
      </w:r>
      <w:r>
        <w:rPr>
          <w:rFonts w:hint="eastAsia" w:ascii="宋体" w:hAnsi="宋体" w:eastAsia="宋体"/>
          <w:color w:val="auto"/>
          <w:szCs w:val="21"/>
        </w:rPr>
        <w:t>行验收</w:t>
      </w:r>
      <w:r>
        <w:rPr>
          <w:rFonts w:ascii="宋体" w:hAnsi="宋体" w:eastAsia="宋体"/>
          <w:color w:val="auto"/>
          <w:szCs w:val="21"/>
        </w:rPr>
        <w:t>。</w:t>
      </w:r>
    </w:p>
    <w:p w14:paraId="2B7A04E2">
      <w:pPr>
        <w:spacing w:line="360" w:lineRule="auto"/>
        <w:rPr>
          <w:rFonts w:hint="eastAsia" w:ascii="宋体" w:hAnsi="宋体" w:eastAsia="宋体"/>
          <w:color w:val="auto"/>
          <w:szCs w:val="21"/>
        </w:rPr>
      </w:pPr>
      <w:r>
        <w:rPr>
          <w:rFonts w:ascii="宋体" w:hAnsi="宋体" w:eastAsia="宋体"/>
          <w:color w:val="auto"/>
          <w:szCs w:val="21"/>
        </w:rPr>
        <w:t xml:space="preserve">15.3.2 </w:t>
      </w:r>
      <w:r>
        <w:rPr>
          <w:rFonts w:hint="eastAsia" w:ascii="宋体" w:hAnsi="宋体" w:eastAsia="宋体"/>
          <w:color w:val="auto"/>
          <w:szCs w:val="21"/>
        </w:rPr>
        <w:t>如产品存在问题，甲方应及时向乙方提出异议，乙方应在得到甲方反馈后的</w:t>
      </w:r>
      <w:r>
        <w:rPr>
          <w:rFonts w:hint="eastAsia" w:ascii="宋体" w:hAnsi="宋体" w:eastAsia="宋体"/>
          <w:color w:val="auto"/>
          <w:szCs w:val="21"/>
          <w:u w:val="single"/>
        </w:rPr>
        <w:t xml:space="preserve">  3 </w:t>
      </w:r>
      <w:r>
        <w:rPr>
          <w:rFonts w:hint="eastAsia" w:ascii="宋体" w:hAnsi="宋体" w:eastAsia="宋体"/>
          <w:color w:val="auto"/>
          <w:szCs w:val="21"/>
        </w:rPr>
        <w:t>个工作日内向甲方做出书面说明并更换合格产品。如因甲方或用户原因未能在上述时间内完成质量检验并完成最终验收、向乙方出具经甲方签字盖章的《验收合格证明》的，视为最终验收合格，且视为甲方已向乙方出具经甲方签字盖章的《验收合格证明》文件。</w:t>
      </w:r>
    </w:p>
    <w:p w14:paraId="63E9B2FD">
      <w:pPr>
        <w:spacing w:line="360" w:lineRule="auto"/>
        <w:rPr>
          <w:rFonts w:hint="eastAsia" w:ascii="宋体" w:hAnsi="宋体" w:eastAsia="宋体"/>
          <w:color w:val="auto"/>
          <w:szCs w:val="21"/>
        </w:rPr>
      </w:pPr>
      <w:r>
        <w:rPr>
          <w:rFonts w:ascii="宋体" w:hAnsi="宋体" w:eastAsia="宋体"/>
          <w:color w:val="auto"/>
          <w:szCs w:val="21"/>
        </w:rPr>
        <w:t xml:space="preserve">15.3.3 </w:t>
      </w:r>
      <w:r>
        <w:rPr>
          <w:rFonts w:hint="eastAsia" w:ascii="宋体" w:hAnsi="宋体" w:eastAsia="宋体"/>
          <w:color w:val="auto"/>
          <w:szCs w:val="21"/>
        </w:rPr>
        <w:t>上述关于产品质量的最终验收，如非经实际运行使用难以发现的，甲方对产品的最终验收签署，并不代表对产品质量的最终验收认可。</w:t>
      </w:r>
    </w:p>
    <w:p w14:paraId="49678A74">
      <w:pPr>
        <w:pStyle w:val="20"/>
        <w:tabs>
          <w:tab w:val="left" w:pos="1395"/>
        </w:tabs>
        <w:spacing w:line="360" w:lineRule="auto"/>
        <w:jc w:val="both"/>
        <w:rPr>
          <w:rFonts w:hint="eastAsia" w:ascii="宋体" w:hAnsi="宋体"/>
          <w:color w:val="auto"/>
          <w:spacing w:val="6"/>
          <w:sz w:val="21"/>
        </w:rPr>
      </w:pPr>
      <w:r>
        <w:rPr>
          <w:rFonts w:ascii="宋体" w:hAnsi="宋体"/>
          <w:color w:val="auto"/>
          <w:sz w:val="21"/>
          <w:szCs w:val="21"/>
        </w:rPr>
        <w:t xml:space="preserve">15.4 </w:t>
      </w:r>
      <w:r>
        <w:rPr>
          <w:rFonts w:hint="eastAsia" w:ascii="宋体" w:hAnsi="宋体"/>
          <w:color w:val="auto"/>
          <w:sz w:val="21"/>
          <w:szCs w:val="21"/>
        </w:rPr>
        <w:t>因乙方提供的产品不合格而致使甲方被用户追究法律责任，则甲方的全部经济损失由乙方承担，包括但不限于甲方向用户支付的赔偿费用、诉讼费、律师费、差旅费等。</w:t>
      </w:r>
    </w:p>
    <w:p w14:paraId="764B0559">
      <w:pPr>
        <w:pStyle w:val="20"/>
        <w:tabs>
          <w:tab w:val="left" w:pos="1395"/>
        </w:tabs>
        <w:spacing w:line="360" w:lineRule="auto"/>
        <w:jc w:val="both"/>
        <w:rPr>
          <w:rFonts w:hint="eastAsia" w:ascii="宋体" w:hAnsi="宋体"/>
          <w:b/>
          <w:color w:val="auto"/>
          <w:sz w:val="21"/>
          <w:szCs w:val="21"/>
        </w:rPr>
      </w:pPr>
      <w:r>
        <w:rPr>
          <w:rFonts w:hint="eastAsia" w:ascii="宋体" w:hAnsi="宋体"/>
          <w:b/>
          <w:color w:val="auto"/>
          <w:sz w:val="21"/>
          <w:szCs w:val="21"/>
        </w:rPr>
        <w:t>十六</w:t>
      </w:r>
      <w:r>
        <w:rPr>
          <w:rFonts w:ascii="宋体" w:hAnsi="宋体"/>
          <w:b/>
          <w:color w:val="auto"/>
          <w:sz w:val="21"/>
          <w:szCs w:val="21"/>
        </w:rPr>
        <w:t>、</w:t>
      </w:r>
      <w:r>
        <w:rPr>
          <w:rFonts w:hint="eastAsia" w:ascii="宋体" w:hAnsi="宋体"/>
          <w:b/>
          <w:color w:val="auto"/>
          <w:sz w:val="21"/>
          <w:szCs w:val="21"/>
        </w:rPr>
        <w:t xml:space="preserve">  安装</w:t>
      </w:r>
    </w:p>
    <w:p w14:paraId="1E3D768E">
      <w:pPr>
        <w:pStyle w:val="20"/>
        <w:tabs>
          <w:tab w:val="left" w:pos="1395"/>
        </w:tabs>
        <w:spacing w:line="360" w:lineRule="auto"/>
        <w:ind w:firstLine="460" w:firstLineChars="200"/>
        <w:jc w:val="both"/>
        <w:rPr>
          <w:rFonts w:hint="eastAsia" w:ascii="宋体" w:hAnsi="宋体"/>
          <w:color w:val="auto"/>
          <w:spacing w:val="10"/>
          <w:sz w:val="21"/>
          <w:szCs w:val="21"/>
        </w:rPr>
      </w:pPr>
      <w:r>
        <w:rPr>
          <w:rFonts w:hint="eastAsia" w:ascii="宋体" w:hAnsi="宋体"/>
          <w:color w:val="auto"/>
          <w:spacing w:val="10"/>
          <w:sz w:val="21"/>
          <w:szCs w:val="21"/>
        </w:rPr>
        <w:t>乙方免费负责产品的安装和调试工作，保证产品在确定的工作环境下能够正常运行。</w:t>
      </w:r>
    </w:p>
    <w:p w14:paraId="59953895">
      <w:pPr>
        <w:pStyle w:val="20"/>
        <w:tabs>
          <w:tab w:val="left" w:pos="1395"/>
        </w:tabs>
        <w:spacing w:line="360" w:lineRule="auto"/>
        <w:jc w:val="both"/>
        <w:rPr>
          <w:rFonts w:hint="eastAsia" w:ascii="宋体" w:hAnsi="宋体"/>
          <w:b/>
          <w:color w:val="auto"/>
          <w:spacing w:val="10"/>
          <w:sz w:val="21"/>
          <w:szCs w:val="21"/>
        </w:rPr>
      </w:pPr>
      <w:r>
        <w:rPr>
          <w:rFonts w:hint="eastAsia" w:ascii="宋体" w:hAnsi="宋体"/>
          <w:b/>
          <w:color w:val="auto"/>
          <w:spacing w:val="10"/>
          <w:sz w:val="21"/>
          <w:szCs w:val="21"/>
        </w:rPr>
        <w:t>十七</w:t>
      </w:r>
      <w:r>
        <w:rPr>
          <w:rFonts w:ascii="宋体" w:hAnsi="宋体"/>
          <w:b/>
          <w:color w:val="auto"/>
          <w:spacing w:val="10"/>
          <w:sz w:val="21"/>
          <w:szCs w:val="21"/>
        </w:rPr>
        <w:t>、</w:t>
      </w:r>
      <w:r>
        <w:rPr>
          <w:rFonts w:hint="eastAsia" w:ascii="宋体" w:hAnsi="宋体"/>
          <w:b/>
          <w:color w:val="auto"/>
          <w:spacing w:val="10"/>
          <w:sz w:val="21"/>
          <w:szCs w:val="21"/>
        </w:rPr>
        <w:t xml:space="preserve">  付款方式</w:t>
      </w:r>
      <w:r>
        <w:rPr>
          <w:rFonts w:ascii="宋体" w:hAnsi="宋体"/>
          <w:b/>
          <w:color w:val="auto"/>
          <w:spacing w:val="10"/>
          <w:sz w:val="21"/>
          <w:szCs w:val="21"/>
        </w:rPr>
        <w:t>及期限</w:t>
      </w:r>
    </w:p>
    <w:p w14:paraId="6C8FF129">
      <w:pPr>
        <w:widowControl/>
        <w:shd w:val="clear" w:color="auto" w:fill="FFFFFF"/>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17.1 付款方式：</w:t>
      </w:r>
    </w:p>
    <w:p w14:paraId="565A4BDF">
      <w:pPr>
        <w:widowControl/>
        <w:shd w:val="clear" w:color="auto" w:fill="FFFFFF"/>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甲方应于本合同标的产品经甲方最终验收合格，双方签订《验收合格证明》后三日内一次性向乙方支付本合同总金，即      元（大写：人民币 ）。乙方须在甲方付款前5日内向甲方开具对应金额的增值税专用发票并提供经甲乙双方确认的验收文档。</w:t>
      </w:r>
    </w:p>
    <w:p w14:paraId="1ECACDC5">
      <w:pPr>
        <w:widowControl/>
        <w:shd w:val="clear" w:color="auto" w:fill="FFFFFF"/>
        <w:spacing w:line="360" w:lineRule="auto"/>
        <w:rPr>
          <w:rFonts w:ascii="Times New Roman" w:hAnsi="Times New Roman" w:eastAsia="宋体" w:cs="Times New Roman"/>
          <w:color w:val="auto"/>
          <w:kern w:val="0"/>
          <w:sz w:val="24"/>
          <w:szCs w:val="24"/>
        </w:rPr>
      </w:pPr>
      <w:r>
        <w:rPr>
          <w:rFonts w:hint="eastAsia" w:ascii="宋体" w:hAnsi="宋体" w:eastAsia="宋体" w:cs="Times New Roman"/>
          <w:color w:val="auto"/>
          <w:kern w:val="0"/>
          <w:szCs w:val="21"/>
        </w:rPr>
        <w:t>17.2 迟延付款：如果甲方不能按期付款，除乙方同意或不可抗力情况外，甲方应当向乙方支付迟延付款违约金，违约金金额为每延期一天，支付迟延付款金额部分的0.01%，且违约金累计不超过合同总额的20%。如因乙方迟延出具发票或出具发票有误的，甲方有权顺延支付款项且不承担任何逾期付款违约责任。</w:t>
      </w:r>
    </w:p>
    <w:p w14:paraId="47A57682">
      <w:pPr>
        <w:widowControl/>
        <w:shd w:val="clear" w:color="auto" w:fill="FFFFFF"/>
        <w:spacing w:line="360" w:lineRule="auto"/>
        <w:rPr>
          <w:rFonts w:hint="eastAsia" w:ascii="等线" w:hAnsi="等线" w:eastAsia="等线" w:cs="宋体"/>
          <w:color w:val="auto"/>
          <w:kern w:val="0"/>
          <w:szCs w:val="21"/>
        </w:rPr>
      </w:pPr>
      <w:r>
        <w:rPr>
          <w:rFonts w:hint="eastAsia" w:ascii="宋体" w:hAnsi="宋体" w:eastAsia="宋体" w:cs="宋体"/>
          <w:color w:val="auto"/>
          <w:kern w:val="0"/>
          <w:szCs w:val="21"/>
        </w:rPr>
        <w:t>17.3 上述款项由甲方汇入乙方指定账号，具体如下：</w:t>
      </w:r>
    </w:p>
    <w:p w14:paraId="5B8CD73A">
      <w:pPr>
        <w:widowControl/>
        <w:shd w:val="clear" w:color="auto" w:fill="FFFFFF"/>
        <w:spacing w:line="360" w:lineRule="auto"/>
        <w:ind w:firstLine="738" w:firstLineChars="350"/>
        <w:rPr>
          <w:rFonts w:hint="eastAsia" w:ascii="宋体" w:hAnsi="宋体" w:eastAsia="宋体" w:cs="宋体"/>
          <w:b/>
          <w:color w:val="auto"/>
          <w:kern w:val="0"/>
          <w:szCs w:val="21"/>
        </w:rPr>
      </w:pPr>
      <w:r>
        <w:rPr>
          <w:rFonts w:hint="eastAsia" w:ascii="宋体" w:hAnsi="宋体" w:eastAsia="宋体" w:cs="宋体"/>
          <w:b/>
          <w:color w:val="auto"/>
          <w:kern w:val="0"/>
          <w:szCs w:val="21"/>
        </w:rPr>
        <w:t xml:space="preserve">账户： </w:t>
      </w:r>
    </w:p>
    <w:p w14:paraId="4E065DD8">
      <w:pPr>
        <w:widowControl/>
        <w:shd w:val="clear" w:color="auto" w:fill="FFFFFF"/>
        <w:spacing w:line="360" w:lineRule="auto"/>
        <w:ind w:firstLine="738" w:firstLineChars="350"/>
        <w:rPr>
          <w:rFonts w:hint="eastAsia" w:ascii="宋体" w:hAnsi="宋体" w:eastAsia="宋体" w:cs="宋体"/>
          <w:b/>
          <w:color w:val="auto"/>
          <w:kern w:val="0"/>
          <w:szCs w:val="21"/>
        </w:rPr>
      </w:pPr>
      <w:r>
        <w:rPr>
          <w:rFonts w:hint="eastAsia" w:ascii="宋体" w:hAnsi="宋体" w:eastAsia="宋体" w:cs="宋体"/>
          <w:b/>
          <w:color w:val="auto"/>
          <w:kern w:val="0"/>
          <w:szCs w:val="21"/>
        </w:rPr>
        <w:t xml:space="preserve">开户行： </w:t>
      </w:r>
    </w:p>
    <w:p w14:paraId="33159F27">
      <w:pPr>
        <w:pStyle w:val="20"/>
        <w:tabs>
          <w:tab w:val="left" w:pos="1395"/>
        </w:tabs>
        <w:spacing w:line="360" w:lineRule="auto"/>
        <w:ind w:left="141" w:leftChars="67" w:firstLine="632" w:firstLineChars="300"/>
        <w:jc w:val="both"/>
        <w:rPr>
          <w:rFonts w:hint="eastAsia" w:ascii="宋体" w:hAnsi="宋体" w:cs="宋体"/>
          <w:b/>
          <w:color w:val="auto"/>
          <w:sz w:val="21"/>
          <w:szCs w:val="21"/>
        </w:rPr>
      </w:pPr>
      <w:r>
        <w:rPr>
          <w:rFonts w:hint="eastAsia" w:ascii="宋体" w:hAnsi="宋体" w:cs="宋体"/>
          <w:b/>
          <w:color w:val="auto"/>
          <w:sz w:val="21"/>
          <w:szCs w:val="21"/>
        </w:rPr>
        <w:t>账号：</w:t>
      </w:r>
    </w:p>
    <w:p w14:paraId="2BE4CAE2">
      <w:pPr>
        <w:pStyle w:val="20"/>
        <w:tabs>
          <w:tab w:val="left" w:pos="1395"/>
        </w:tabs>
        <w:spacing w:line="360" w:lineRule="auto"/>
        <w:jc w:val="both"/>
        <w:rPr>
          <w:rFonts w:hint="eastAsia" w:ascii="宋体" w:hAnsi="宋体"/>
          <w:b/>
          <w:color w:val="auto"/>
          <w:sz w:val="21"/>
        </w:rPr>
      </w:pPr>
      <w:r>
        <w:rPr>
          <w:rFonts w:hint="eastAsia" w:ascii="宋体" w:hAnsi="宋体"/>
          <w:b/>
          <w:color w:val="auto"/>
          <w:sz w:val="21"/>
        </w:rPr>
        <w:t>十八</w:t>
      </w:r>
      <w:r>
        <w:rPr>
          <w:rFonts w:ascii="宋体" w:hAnsi="宋体"/>
          <w:b/>
          <w:color w:val="auto"/>
          <w:sz w:val="21"/>
        </w:rPr>
        <w:t>、保修和售后</w:t>
      </w:r>
      <w:r>
        <w:rPr>
          <w:rFonts w:hint="eastAsia" w:ascii="宋体" w:hAnsi="宋体"/>
          <w:b/>
          <w:color w:val="auto"/>
          <w:sz w:val="21"/>
        </w:rPr>
        <w:t>服务</w:t>
      </w:r>
    </w:p>
    <w:p w14:paraId="709DF065">
      <w:pPr>
        <w:spacing w:line="360" w:lineRule="auto"/>
        <w:rPr>
          <w:rFonts w:hint="eastAsia" w:ascii="宋体" w:hAnsi="宋体" w:eastAsia="宋体"/>
          <w:color w:val="auto"/>
          <w:szCs w:val="21"/>
        </w:rPr>
      </w:pPr>
      <w:r>
        <w:rPr>
          <w:rFonts w:ascii="宋体" w:hAnsi="宋体" w:eastAsia="宋体"/>
          <w:color w:val="auto"/>
          <w:kern w:val="0"/>
          <w:szCs w:val="21"/>
        </w:rPr>
        <w:t xml:space="preserve">18.1 </w:t>
      </w:r>
      <w:r>
        <w:rPr>
          <w:rFonts w:hint="eastAsia" w:ascii="宋体" w:hAnsi="宋体" w:eastAsia="宋体"/>
          <w:color w:val="auto"/>
          <w:kern w:val="0"/>
          <w:szCs w:val="21"/>
        </w:rPr>
        <w:t>保修期以设备序列号为标准。</w:t>
      </w:r>
      <w:r>
        <w:rPr>
          <w:rFonts w:hint="eastAsia" w:ascii="宋体" w:hAnsi="宋体" w:eastAsia="宋体"/>
          <w:color w:val="auto"/>
          <w:szCs w:val="21"/>
        </w:rPr>
        <w:t>保修期为原厂</w:t>
      </w:r>
      <w:r>
        <w:rPr>
          <w:rFonts w:hint="eastAsia" w:ascii="宋体" w:hAnsi="宋体" w:eastAsia="宋体"/>
          <w:color w:val="auto"/>
          <w:szCs w:val="21"/>
          <w:u w:val="single"/>
        </w:rPr>
        <w:t xml:space="preserve"> 1 </w:t>
      </w:r>
      <w:r>
        <w:rPr>
          <w:rFonts w:hint="eastAsia" w:ascii="宋体" w:hAnsi="宋体" w:eastAsia="宋体"/>
          <w:color w:val="auto"/>
          <w:szCs w:val="21"/>
        </w:rPr>
        <w:t>年。保修内容为产品全保,即：在保修期内免费换货、免费维修，乙方提供的保修内容和标准不低于产品原厂商的标准。超过免费保修期的维修服务乙方承诺仅收取零部件成本费。</w:t>
      </w:r>
    </w:p>
    <w:p w14:paraId="53CEF5DE">
      <w:pPr>
        <w:spacing w:line="360" w:lineRule="auto"/>
        <w:rPr>
          <w:rFonts w:hint="eastAsia" w:ascii="宋体" w:hAnsi="宋体" w:eastAsia="宋体"/>
          <w:color w:val="auto"/>
          <w:szCs w:val="21"/>
        </w:rPr>
      </w:pPr>
      <w:r>
        <w:rPr>
          <w:rFonts w:ascii="宋体" w:hAnsi="宋体" w:eastAsia="宋体"/>
          <w:color w:val="auto"/>
          <w:szCs w:val="21"/>
        </w:rPr>
        <w:t>18.2</w:t>
      </w:r>
      <w:r>
        <w:rPr>
          <w:rFonts w:hint="eastAsia" w:ascii="宋体" w:hAnsi="宋体" w:eastAsia="宋体"/>
          <w:color w:val="auto"/>
          <w:kern w:val="0"/>
          <w:szCs w:val="21"/>
        </w:rPr>
        <w:t>若产品在验收合格之日起三个月内出现质量问题，由甲、乙、设备厂商三方协商解决</w:t>
      </w:r>
      <w:r>
        <w:rPr>
          <w:rFonts w:ascii="宋体" w:hAnsi="宋体" w:eastAsia="宋体"/>
          <w:color w:val="auto"/>
          <w:szCs w:val="21"/>
        </w:rPr>
        <w:t xml:space="preserve"> </w:t>
      </w:r>
      <w:r>
        <w:rPr>
          <w:rFonts w:hint="eastAsia" w:ascii="宋体" w:hAnsi="宋体" w:eastAsia="宋体"/>
          <w:color w:val="auto"/>
          <w:szCs w:val="21"/>
        </w:rPr>
        <w:t>。</w:t>
      </w:r>
    </w:p>
    <w:p w14:paraId="1A9AD94C">
      <w:pPr>
        <w:spacing w:line="360" w:lineRule="auto"/>
        <w:rPr>
          <w:rFonts w:hint="eastAsia" w:ascii="宋体" w:hAnsi="宋体" w:eastAsia="宋体"/>
          <w:color w:val="auto"/>
          <w:spacing w:val="10"/>
          <w:szCs w:val="21"/>
        </w:rPr>
      </w:pPr>
      <w:r>
        <w:rPr>
          <w:rFonts w:ascii="宋体" w:hAnsi="宋体" w:eastAsia="宋体"/>
          <w:color w:val="auto"/>
          <w:kern w:val="0"/>
          <w:szCs w:val="21"/>
        </w:rPr>
        <w:t>18.3</w:t>
      </w:r>
      <w:r>
        <w:rPr>
          <w:rFonts w:hint="eastAsia" w:ascii="宋体" w:hAnsi="宋体" w:eastAsia="宋体"/>
          <w:color w:val="auto"/>
          <w:kern w:val="0"/>
          <w:szCs w:val="21"/>
        </w:rPr>
        <w:t>乙方的技术及维修服务联系方式为</w:t>
      </w:r>
      <w:r>
        <w:rPr>
          <w:rFonts w:hint="eastAsia" w:ascii="宋体" w:hAnsi="宋体" w:eastAsia="宋体"/>
          <w:color w:val="auto"/>
          <w:szCs w:val="21"/>
        </w:rPr>
        <w:t>热线电话：</w:t>
      </w:r>
      <w:r>
        <w:rPr>
          <w:rFonts w:hint="eastAsia" w:ascii="宋体" w:hAnsi="宋体" w:eastAsia="宋体"/>
          <w:color w:val="auto"/>
          <w:szCs w:val="21"/>
          <w:u w:val="single"/>
        </w:rPr>
        <w:t xml:space="preserve">   </w:t>
      </w:r>
      <w:r>
        <w:rPr>
          <w:rFonts w:hint="eastAsia" w:ascii="宋体" w:hAnsi="宋体" w:eastAsia="宋体"/>
          <w:color w:val="auto"/>
          <w:szCs w:val="21"/>
        </w:rPr>
        <w:t xml:space="preserve">联系人： </w:t>
      </w:r>
      <w:r>
        <w:rPr>
          <w:rFonts w:hint="eastAsia" w:ascii="宋体" w:hAnsi="宋体" w:eastAsia="宋体"/>
          <w:color w:val="auto"/>
          <w:kern w:val="0"/>
          <w:szCs w:val="21"/>
        </w:rPr>
        <w:t>，乙方保证7*2 4小时进行响应。维修工作应在接到通知后24小时内完成，更换主附件在</w:t>
      </w:r>
      <w:r>
        <w:rPr>
          <w:rFonts w:hint="eastAsia" w:ascii="宋体" w:hAnsi="宋体" w:eastAsia="宋体"/>
          <w:color w:val="auto"/>
          <w:spacing w:val="10"/>
          <w:szCs w:val="21"/>
        </w:rPr>
        <w:t>甲方</w:t>
      </w:r>
      <w:r>
        <w:rPr>
          <w:rFonts w:hint="eastAsia" w:ascii="宋体" w:hAnsi="宋体" w:eastAsia="宋体"/>
          <w:color w:val="auto"/>
          <w:kern w:val="0"/>
          <w:szCs w:val="21"/>
        </w:rPr>
        <w:t>通知后</w:t>
      </w:r>
      <w:r>
        <w:rPr>
          <w:rFonts w:hint="eastAsia" w:ascii="宋体" w:hAnsi="宋体" w:eastAsia="宋体"/>
          <w:color w:val="auto"/>
          <w:kern w:val="0"/>
          <w:szCs w:val="21"/>
          <w:u w:val="single"/>
        </w:rPr>
        <w:t xml:space="preserve"> 3  </w:t>
      </w:r>
      <w:r>
        <w:rPr>
          <w:rFonts w:hint="eastAsia" w:ascii="宋体" w:hAnsi="宋体" w:eastAsia="宋体"/>
          <w:color w:val="auto"/>
          <w:kern w:val="0"/>
          <w:szCs w:val="21"/>
        </w:rPr>
        <w:t>天内完成，保证系统正常运行。违反本约定的，每次按合同总价款的</w:t>
      </w:r>
      <w:r>
        <w:rPr>
          <w:rFonts w:hint="eastAsia" w:ascii="宋体" w:hAnsi="宋体" w:eastAsia="宋体"/>
          <w:color w:val="auto"/>
          <w:kern w:val="0"/>
          <w:szCs w:val="21"/>
          <w:u w:val="single"/>
        </w:rPr>
        <w:t xml:space="preserve"> 0.5 </w:t>
      </w:r>
      <w:r>
        <w:rPr>
          <w:rFonts w:hint="eastAsia" w:ascii="宋体" w:hAnsi="宋体" w:eastAsia="宋体"/>
          <w:color w:val="auto"/>
          <w:kern w:val="0"/>
          <w:szCs w:val="21"/>
        </w:rPr>
        <w:t>%向</w:t>
      </w:r>
      <w:r>
        <w:rPr>
          <w:rFonts w:hint="eastAsia" w:ascii="宋体" w:hAnsi="宋体" w:eastAsia="宋体"/>
          <w:color w:val="auto"/>
          <w:spacing w:val="10"/>
          <w:szCs w:val="21"/>
        </w:rPr>
        <w:t>甲方</w:t>
      </w:r>
      <w:r>
        <w:rPr>
          <w:rFonts w:hint="eastAsia" w:ascii="宋体" w:hAnsi="宋体" w:eastAsia="宋体"/>
          <w:color w:val="auto"/>
          <w:kern w:val="0"/>
          <w:szCs w:val="21"/>
        </w:rPr>
        <w:t>支付违约金，造成损失高于违约金的还应按实际赔偿损失。</w:t>
      </w:r>
    </w:p>
    <w:p w14:paraId="3931C7D5">
      <w:pPr>
        <w:tabs>
          <w:tab w:val="left" w:pos="1680"/>
        </w:tabs>
        <w:spacing w:line="360" w:lineRule="auto"/>
        <w:rPr>
          <w:rFonts w:hint="eastAsia" w:ascii="宋体" w:hAnsi="宋体" w:eastAsia="宋体"/>
          <w:color w:val="auto"/>
          <w:spacing w:val="10"/>
          <w:szCs w:val="21"/>
        </w:rPr>
      </w:pPr>
      <w:r>
        <w:rPr>
          <w:rFonts w:ascii="宋体" w:hAnsi="宋体" w:eastAsia="宋体"/>
          <w:color w:val="auto"/>
          <w:kern w:val="0"/>
          <w:szCs w:val="21"/>
        </w:rPr>
        <w:t>18.4</w:t>
      </w:r>
      <w:r>
        <w:rPr>
          <w:rFonts w:hint="eastAsia" w:ascii="宋体" w:hAnsi="宋体" w:eastAsia="宋体"/>
          <w:color w:val="auto"/>
          <w:kern w:val="0"/>
          <w:szCs w:val="21"/>
        </w:rPr>
        <w:t>产品维修期间，乙方应免费提供备用产品，以保证用户的正常使用需要，</w:t>
      </w:r>
      <w:r>
        <w:rPr>
          <w:rFonts w:hint="eastAsia" w:ascii="宋体" w:hAnsi="宋体" w:eastAsia="宋体"/>
          <w:color w:val="auto"/>
          <w:szCs w:val="21"/>
        </w:rPr>
        <w:t>在备用产品停止生产的情况下，乙方应事先将要停止生产的计划通知甲方，使甲方有足够的时间采购所需的备用产品，为购甲</w:t>
      </w:r>
      <w:r>
        <w:rPr>
          <w:rFonts w:ascii="宋体" w:hAnsi="宋体" w:eastAsia="宋体"/>
          <w:color w:val="auto"/>
          <w:szCs w:val="21"/>
        </w:rPr>
        <w:t>方</w:t>
      </w:r>
      <w:r>
        <w:rPr>
          <w:rFonts w:hint="eastAsia" w:ascii="宋体" w:hAnsi="宋体" w:eastAsia="宋体"/>
          <w:color w:val="auto"/>
          <w:szCs w:val="21"/>
        </w:rPr>
        <w:t>备用产品发生的费用由乙方承担。</w:t>
      </w:r>
    </w:p>
    <w:p w14:paraId="02A58A0D">
      <w:pPr>
        <w:spacing w:line="360" w:lineRule="auto"/>
        <w:rPr>
          <w:rFonts w:hint="eastAsia" w:ascii="宋体" w:hAnsi="宋体" w:eastAsia="宋体"/>
          <w:color w:val="auto"/>
          <w:kern w:val="0"/>
          <w:szCs w:val="21"/>
        </w:rPr>
      </w:pPr>
      <w:r>
        <w:rPr>
          <w:rFonts w:ascii="宋体" w:hAnsi="宋体" w:eastAsia="宋体"/>
          <w:color w:val="auto"/>
          <w:kern w:val="0"/>
          <w:szCs w:val="21"/>
        </w:rPr>
        <w:t xml:space="preserve">18.5 </w:t>
      </w:r>
      <w:r>
        <w:rPr>
          <w:rFonts w:hint="eastAsia" w:ascii="宋体" w:hAnsi="宋体" w:eastAsia="宋体"/>
          <w:color w:val="auto"/>
          <w:kern w:val="0"/>
          <w:szCs w:val="21"/>
        </w:rPr>
        <w:t>售后服务期内，如涉及乙方提供的产品支持软件升级、更新的，乙方应免费为</w:t>
      </w:r>
      <w:r>
        <w:rPr>
          <w:rFonts w:hint="eastAsia" w:ascii="宋体" w:hAnsi="宋体" w:eastAsia="宋体"/>
          <w:color w:val="auto"/>
          <w:spacing w:val="10"/>
          <w:szCs w:val="21"/>
        </w:rPr>
        <w:t>甲方</w:t>
      </w:r>
      <w:r>
        <w:rPr>
          <w:rFonts w:hint="eastAsia" w:ascii="宋体" w:hAnsi="宋体" w:eastAsia="宋体"/>
          <w:color w:val="auto"/>
          <w:kern w:val="0"/>
          <w:szCs w:val="21"/>
        </w:rPr>
        <w:t>安装升级、更新后的版本，并应为</w:t>
      </w:r>
      <w:r>
        <w:rPr>
          <w:rFonts w:hint="eastAsia" w:ascii="宋体" w:hAnsi="宋体" w:eastAsia="宋体"/>
          <w:color w:val="auto"/>
          <w:spacing w:val="10"/>
          <w:szCs w:val="21"/>
        </w:rPr>
        <w:t>甲方</w:t>
      </w:r>
      <w:r>
        <w:rPr>
          <w:rFonts w:hint="eastAsia" w:ascii="宋体" w:hAnsi="宋体" w:eastAsia="宋体"/>
          <w:color w:val="auto"/>
          <w:kern w:val="0"/>
          <w:szCs w:val="21"/>
        </w:rPr>
        <w:t>和用户提供必要的技术培训。</w:t>
      </w:r>
    </w:p>
    <w:p w14:paraId="0B5A8401">
      <w:pPr>
        <w:pStyle w:val="20"/>
        <w:tabs>
          <w:tab w:val="left" w:pos="1395"/>
        </w:tabs>
        <w:spacing w:line="360" w:lineRule="auto"/>
        <w:jc w:val="both"/>
        <w:rPr>
          <w:rFonts w:hint="eastAsia" w:ascii="宋体" w:hAnsi="宋体"/>
          <w:b/>
          <w:color w:val="auto"/>
          <w:sz w:val="21"/>
        </w:rPr>
      </w:pPr>
      <w:r>
        <w:rPr>
          <w:rFonts w:ascii="宋体" w:hAnsi="宋体"/>
          <w:color w:val="auto"/>
          <w:sz w:val="21"/>
          <w:szCs w:val="21"/>
        </w:rPr>
        <w:t xml:space="preserve">18.6 </w:t>
      </w:r>
      <w:r>
        <w:rPr>
          <w:rFonts w:hint="eastAsia" w:ascii="宋体" w:hAnsi="宋体"/>
          <w:color w:val="auto"/>
          <w:sz w:val="21"/>
          <w:szCs w:val="21"/>
        </w:rPr>
        <w:t>乙方有义务在收到甲方提供的用户反馈意见时，针对用户的需求，免费完善、改进产品功能，以满足用户的需要。</w:t>
      </w:r>
    </w:p>
    <w:p w14:paraId="0969DFE0">
      <w:pPr>
        <w:pStyle w:val="20"/>
        <w:tabs>
          <w:tab w:val="left" w:pos="1395"/>
        </w:tabs>
        <w:spacing w:line="360" w:lineRule="auto"/>
        <w:jc w:val="both"/>
        <w:rPr>
          <w:rFonts w:hint="eastAsia" w:ascii="宋体" w:hAnsi="宋体"/>
          <w:b/>
          <w:color w:val="auto"/>
          <w:sz w:val="21"/>
        </w:rPr>
      </w:pPr>
      <w:r>
        <w:rPr>
          <w:rFonts w:hint="eastAsia" w:ascii="宋体" w:hAnsi="宋体"/>
          <w:b/>
          <w:color w:val="auto"/>
          <w:sz w:val="21"/>
        </w:rPr>
        <w:t>十九</w:t>
      </w:r>
      <w:r>
        <w:rPr>
          <w:rFonts w:ascii="宋体" w:hAnsi="宋体"/>
          <w:b/>
          <w:color w:val="auto"/>
          <w:sz w:val="21"/>
        </w:rPr>
        <w:t>、</w:t>
      </w:r>
      <w:r>
        <w:rPr>
          <w:rFonts w:hint="eastAsia" w:ascii="宋体" w:hAnsi="宋体"/>
          <w:b/>
          <w:color w:val="auto"/>
          <w:sz w:val="21"/>
        </w:rPr>
        <w:t xml:space="preserve">  知识产权和许可</w:t>
      </w:r>
    </w:p>
    <w:p w14:paraId="75E1A429">
      <w:pPr>
        <w:pStyle w:val="20"/>
        <w:tabs>
          <w:tab w:val="left" w:pos="1395"/>
        </w:tabs>
        <w:spacing w:line="360" w:lineRule="auto"/>
        <w:ind w:firstLine="420" w:firstLineChars="200"/>
        <w:jc w:val="both"/>
        <w:rPr>
          <w:rFonts w:hint="eastAsia" w:ascii="宋体" w:hAnsi="宋体"/>
          <w:color w:val="auto"/>
          <w:sz w:val="21"/>
          <w:szCs w:val="21"/>
        </w:rPr>
      </w:pPr>
      <w:r>
        <w:rPr>
          <w:rFonts w:hint="eastAsia" w:ascii="宋体" w:hAnsi="宋体"/>
          <w:color w:val="auto"/>
          <w:sz w:val="21"/>
          <w:szCs w:val="21"/>
        </w:rPr>
        <w:t>乙方保证其所提供的产品和全部资料为乙方合法所有或已得到相应销售，并保证使甲方免受第三方提出的侵犯其专利权、商标权、著作权或其它知识产权的起诉、仲裁及其他干扰。对因乙方的产品或服务侵犯第三方的知识产权而引起的针对甲方及用户的索赔或其他纠纷，乙方应当负责应诉、解决并为甲方抗辩，或在甲方的要求下合作抗辩，保证甲方利益不受损害并承担因此而产生的所有判决/裁定/调解书/和解协议的赔偿金、罚款、以及甲方由此支付的全部费用。</w:t>
      </w:r>
    </w:p>
    <w:p w14:paraId="26A99DD4">
      <w:pPr>
        <w:pStyle w:val="20"/>
        <w:tabs>
          <w:tab w:val="left" w:pos="1395"/>
        </w:tabs>
        <w:spacing w:line="360" w:lineRule="auto"/>
        <w:jc w:val="both"/>
        <w:rPr>
          <w:rFonts w:hint="eastAsia" w:ascii="宋体" w:hAnsi="宋体"/>
          <w:b/>
          <w:color w:val="auto"/>
          <w:sz w:val="21"/>
          <w:szCs w:val="21"/>
        </w:rPr>
      </w:pPr>
      <w:r>
        <w:rPr>
          <w:rFonts w:hint="eastAsia" w:ascii="宋体" w:hAnsi="宋体"/>
          <w:b/>
          <w:color w:val="auto"/>
          <w:sz w:val="21"/>
          <w:szCs w:val="21"/>
        </w:rPr>
        <w:t>二十</w:t>
      </w:r>
      <w:r>
        <w:rPr>
          <w:rFonts w:ascii="宋体" w:hAnsi="宋体"/>
          <w:b/>
          <w:color w:val="auto"/>
          <w:sz w:val="21"/>
          <w:szCs w:val="21"/>
        </w:rPr>
        <w:t>、</w:t>
      </w:r>
      <w:r>
        <w:rPr>
          <w:rFonts w:hint="eastAsia" w:ascii="宋体" w:hAnsi="宋体"/>
          <w:b/>
          <w:color w:val="auto"/>
          <w:sz w:val="21"/>
          <w:szCs w:val="21"/>
        </w:rPr>
        <w:t xml:space="preserve">  乙方履约延误</w:t>
      </w:r>
    </w:p>
    <w:p w14:paraId="249092D1">
      <w:pPr>
        <w:pStyle w:val="21"/>
        <w:ind w:firstLine="0" w:firstLineChars="0"/>
        <w:rPr>
          <w:rFonts w:hint="eastAsia" w:ascii="宋体" w:hAnsi="宋体"/>
          <w:color w:val="auto"/>
          <w:sz w:val="21"/>
        </w:rPr>
      </w:pPr>
      <w:r>
        <w:rPr>
          <w:rFonts w:hint="eastAsia" w:ascii="宋体" w:hAnsi="宋体"/>
          <w:color w:val="auto"/>
          <w:sz w:val="21"/>
        </w:rPr>
        <w:t>20.1 乙方应当按照合同条款约定的时间表交货和提供服务。</w:t>
      </w:r>
    </w:p>
    <w:p w14:paraId="2559261F">
      <w:pPr>
        <w:pStyle w:val="21"/>
        <w:ind w:firstLine="0" w:firstLineChars="0"/>
        <w:rPr>
          <w:rFonts w:hint="eastAsia" w:ascii="宋体" w:hAnsi="宋体"/>
          <w:color w:val="auto"/>
          <w:sz w:val="21"/>
        </w:rPr>
      </w:pPr>
      <w:r>
        <w:rPr>
          <w:rFonts w:hint="eastAsia" w:ascii="宋体" w:hAnsi="宋体"/>
          <w:color w:val="auto"/>
          <w:sz w:val="21"/>
        </w:rPr>
        <w:t>20</w:t>
      </w:r>
      <w:r>
        <w:rPr>
          <w:rFonts w:ascii="宋体" w:hAnsi="宋体"/>
          <w:color w:val="auto"/>
          <w:sz w:val="21"/>
        </w:rPr>
        <w:t>.2</w:t>
      </w:r>
      <w:r>
        <w:rPr>
          <w:rFonts w:hint="eastAsia" w:ascii="宋体" w:hAnsi="宋体"/>
          <w:color w:val="auto"/>
          <w:sz w:val="21"/>
        </w:rPr>
        <w:t>在履行合同过程中，如果乙方遇到妨碍按时交货和提供服务的情况时，应当及时以书面形式将拖延的事实、可能拖延的时间和原因通知甲方。甲方在收到乙方通知后，应当尽快对情况进行评价，并确定是否同意延长交货时间以及是否收取误期赔偿费。延期应当通过修改合同的方式由双方认可。</w:t>
      </w:r>
    </w:p>
    <w:p w14:paraId="3B9B77B9">
      <w:pPr>
        <w:pStyle w:val="20"/>
        <w:tabs>
          <w:tab w:val="left" w:pos="1395"/>
        </w:tabs>
        <w:spacing w:line="360" w:lineRule="auto"/>
        <w:jc w:val="both"/>
        <w:rPr>
          <w:rFonts w:hint="eastAsia" w:ascii="宋体" w:hAnsi="宋体"/>
          <w:color w:val="auto"/>
          <w:sz w:val="21"/>
        </w:rPr>
      </w:pPr>
      <w:r>
        <w:rPr>
          <w:rFonts w:hint="eastAsia" w:ascii="宋体" w:hAnsi="宋体"/>
          <w:color w:val="auto"/>
          <w:sz w:val="21"/>
        </w:rPr>
        <w:t>20.3 除了第</w:t>
      </w:r>
      <w:r>
        <w:rPr>
          <w:rFonts w:ascii="宋体" w:hAnsi="宋体"/>
          <w:color w:val="auto"/>
          <w:sz w:val="21"/>
        </w:rPr>
        <w:t>25</w:t>
      </w:r>
      <w:r>
        <w:rPr>
          <w:rFonts w:hint="eastAsia" w:ascii="宋体" w:hAnsi="宋体"/>
          <w:color w:val="auto"/>
          <w:sz w:val="21"/>
        </w:rPr>
        <w:t>条约定的情况之外，除非拖延是根据第20</w:t>
      </w:r>
      <w:r>
        <w:rPr>
          <w:rFonts w:ascii="宋体" w:hAnsi="宋体"/>
          <w:color w:val="auto"/>
          <w:sz w:val="21"/>
        </w:rPr>
        <w:t>.2</w:t>
      </w:r>
      <w:r>
        <w:rPr>
          <w:rFonts w:hint="eastAsia" w:ascii="宋体" w:hAnsi="宋体"/>
          <w:color w:val="auto"/>
          <w:sz w:val="21"/>
        </w:rPr>
        <w:t>款的约定取得甲方同意而不收取误期赔偿费之外，乙方延误交货，甲方将按照第</w:t>
      </w:r>
      <w:r>
        <w:rPr>
          <w:rFonts w:ascii="宋体" w:hAnsi="宋体"/>
          <w:color w:val="auto"/>
          <w:sz w:val="21"/>
        </w:rPr>
        <w:t>21</w:t>
      </w:r>
      <w:r>
        <w:rPr>
          <w:rFonts w:hint="eastAsia" w:ascii="宋体" w:hAnsi="宋体"/>
          <w:color w:val="auto"/>
          <w:sz w:val="21"/>
        </w:rPr>
        <w:t>条的约定收取误期赔偿费。</w:t>
      </w:r>
    </w:p>
    <w:p w14:paraId="1C9CDCD8">
      <w:pPr>
        <w:pStyle w:val="20"/>
        <w:tabs>
          <w:tab w:val="left" w:pos="1395"/>
        </w:tabs>
        <w:spacing w:line="360" w:lineRule="auto"/>
        <w:jc w:val="both"/>
        <w:rPr>
          <w:rFonts w:hint="eastAsia" w:ascii="宋体" w:hAnsi="宋体"/>
          <w:b/>
          <w:color w:val="auto"/>
          <w:sz w:val="21"/>
        </w:rPr>
      </w:pPr>
      <w:r>
        <w:rPr>
          <w:rFonts w:hint="eastAsia" w:ascii="宋体" w:hAnsi="宋体"/>
          <w:b/>
          <w:color w:val="auto"/>
          <w:sz w:val="21"/>
        </w:rPr>
        <w:t>二十一</w:t>
      </w:r>
      <w:r>
        <w:rPr>
          <w:rFonts w:ascii="宋体" w:hAnsi="宋体"/>
          <w:b/>
          <w:color w:val="auto"/>
          <w:sz w:val="21"/>
        </w:rPr>
        <w:t>、</w:t>
      </w:r>
      <w:r>
        <w:rPr>
          <w:rFonts w:hint="eastAsia" w:ascii="宋体" w:hAnsi="宋体"/>
          <w:b/>
          <w:color w:val="auto"/>
          <w:sz w:val="21"/>
        </w:rPr>
        <w:t xml:space="preserve"> 误期赔偿费</w:t>
      </w:r>
    </w:p>
    <w:p w14:paraId="1607B647">
      <w:pPr>
        <w:pStyle w:val="20"/>
        <w:tabs>
          <w:tab w:val="left" w:pos="1395"/>
        </w:tabs>
        <w:spacing w:line="360" w:lineRule="auto"/>
        <w:ind w:firstLine="420" w:firstLineChars="200"/>
        <w:jc w:val="both"/>
        <w:rPr>
          <w:rFonts w:hint="eastAsia" w:ascii="宋体" w:hAnsi="宋体"/>
          <w:color w:val="auto"/>
          <w:sz w:val="21"/>
        </w:rPr>
      </w:pPr>
      <w:r>
        <w:rPr>
          <w:rFonts w:hint="eastAsia" w:ascii="宋体" w:hAnsi="宋体"/>
          <w:color w:val="auto"/>
          <w:sz w:val="21"/>
        </w:rPr>
        <w:t>21.1 除了第</w:t>
      </w:r>
      <w:r>
        <w:rPr>
          <w:rFonts w:ascii="宋体" w:hAnsi="宋体"/>
          <w:color w:val="auto"/>
          <w:sz w:val="21"/>
        </w:rPr>
        <w:t>25</w:t>
      </w:r>
      <w:r>
        <w:rPr>
          <w:rFonts w:hint="eastAsia" w:ascii="宋体" w:hAnsi="宋体"/>
          <w:color w:val="auto"/>
          <w:sz w:val="21"/>
        </w:rPr>
        <w:t>条约定的情况之外，如果乙方没有按照合同条款约定的时间交货和提供服务，在不影响合同条款约定的其他补救措施的情况下，甲方应当从合同价款中扣除误期赔偿费，直至交货或者提供服务为止。</w:t>
      </w:r>
      <w:r>
        <w:rPr>
          <w:rFonts w:hint="eastAsia" w:ascii="宋体" w:hAnsi="宋体"/>
          <w:color w:val="auto"/>
          <w:sz w:val="21"/>
          <w:szCs w:val="21"/>
        </w:rPr>
        <w:t>误期赔偿费：每延迟</w:t>
      </w:r>
      <w:r>
        <w:rPr>
          <w:rFonts w:ascii="宋体" w:hAnsi="宋体"/>
          <w:color w:val="auto"/>
          <w:sz w:val="21"/>
          <w:szCs w:val="21"/>
          <w:u w:val="single"/>
        </w:rPr>
        <w:t xml:space="preserve"> 1 </w:t>
      </w:r>
      <w:r>
        <w:rPr>
          <w:rFonts w:hint="eastAsia" w:ascii="宋体" w:hAnsi="宋体"/>
          <w:color w:val="auto"/>
          <w:sz w:val="21"/>
          <w:szCs w:val="21"/>
        </w:rPr>
        <w:t>天交货的赔偿费按照迟交货物交货价或者被提供服务的服务费用的</w:t>
      </w:r>
      <w:r>
        <w:rPr>
          <w:rFonts w:hint="eastAsia" w:ascii="宋体" w:hAnsi="宋体"/>
          <w:color w:val="auto"/>
          <w:sz w:val="21"/>
          <w:szCs w:val="21"/>
          <w:u w:val="single"/>
        </w:rPr>
        <w:t>0.5</w:t>
      </w:r>
      <w:r>
        <w:rPr>
          <w:rFonts w:ascii="宋体" w:hAnsi="宋体"/>
          <w:color w:val="auto"/>
          <w:sz w:val="21"/>
          <w:szCs w:val="21"/>
          <w:u w:val="single"/>
        </w:rPr>
        <w:t xml:space="preserve"> </w:t>
      </w:r>
      <w:r>
        <w:rPr>
          <w:rFonts w:ascii="宋体" w:hAnsi="宋体"/>
          <w:color w:val="auto"/>
          <w:sz w:val="21"/>
          <w:szCs w:val="21"/>
        </w:rPr>
        <w:t>%</w:t>
      </w:r>
      <w:r>
        <w:rPr>
          <w:rFonts w:hint="eastAsia" w:ascii="宋体" w:hAnsi="宋体"/>
          <w:color w:val="auto"/>
          <w:sz w:val="21"/>
          <w:szCs w:val="21"/>
        </w:rPr>
        <w:t>计收，直至交货或者提供服务为止。误期赔偿费的最高限额为延迟交货价的</w:t>
      </w:r>
      <w:r>
        <w:rPr>
          <w:rFonts w:ascii="宋体" w:hAnsi="宋体"/>
          <w:color w:val="auto"/>
          <w:sz w:val="21"/>
          <w:szCs w:val="21"/>
          <w:u w:val="single"/>
        </w:rPr>
        <w:t xml:space="preserve"> </w:t>
      </w:r>
      <w:r>
        <w:rPr>
          <w:rFonts w:hint="eastAsia" w:ascii="宋体" w:hAnsi="宋体"/>
          <w:color w:val="auto"/>
          <w:sz w:val="21"/>
          <w:szCs w:val="21"/>
          <w:u w:val="single"/>
        </w:rPr>
        <w:t>30</w:t>
      </w:r>
      <w:r>
        <w:rPr>
          <w:rFonts w:ascii="宋体" w:hAnsi="宋体"/>
          <w:color w:val="auto"/>
          <w:sz w:val="21"/>
          <w:szCs w:val="21"/>
          <w:u w:val="single"/>
        </w:rPr>
        <w:t xml:space="preserve"> </w:t>
      </w:r>
      <w:r>
        <w:rPr>
          <w:rFonts w:ascii="宋体" w:hAnsi="宋体"/>
          <w:color w:val="auto"/>
          <w:sz w:val="21"/>
          <w:szCs w:val="21"/>
        </w:rPr>
        <w:t>%</w:t>
      </w:r>
      <w:r>
        <w:rPr>
          <w:rFonts w:hint="eastAsia" w:ascii="宋体" w:hAnsi="宋体"/>
          <w:color w:val="auto"/>
          <w:sz w:val="21"/>
          <w:szCs w:val="21"/>
        </w:rPr>
        <w:t>。</w:t>
      </w:r>
      <w:r>
        <w:rPr>
          <w:rFonts w:hint="eastAsia" w:ascii="宋体" w:hAnsi="宋体"/>
          <w:color w:val="auto"/>
          <w:sz w:val="21"/>
        </w:rPr>
        <w:t>一旦达到误期赔偿费的最高限额，甲方有权根据第22条的约定终止合同。</w:t>
      </w:r>
    </w:p>
    <w:p w14:paraId="28B25EED">
      <w:pPr>
        <w:pStyle w:val="20"/>
        <w:tabs>
          <w:tab w:val="left" w:pos="1395"/>
        </w:tabs>
        <w:spacing w:line="360" w:lineRule="auto"/>
        <w:jc w:val="both"/>
        <w:rPr>
          <w:rFonts w:hint="eastAsia" w:ascii="宋体" w:hAnsi="宋体"/>
          <w:b/>
          <w:color w:val="auto"/>
          <w:sz w:val="21"/>
        </w:rPr>
      </w:pPr>
      <w:r>
        <w:rPr>
          <w:rFonts w:hint="eastAsia" w:ascii="宋体" w:hAnsi="宋体"/>
          <w:b/>
          <w:color w:val="auto"/>
          <w:sz w:val="21"/>
        </w:rPr>
        <w:t>二十二</w:t>
      </w:r>
      <w:r>
        <w:rPr>
          <w:rFonts w:ascii="宋体" w:hAnsi="宋体"/>
          <w:b/>
          <w:color w:val="auto"/>
          <w:sz w:val="21"/>
        </w:rPr>
        <w:t>、</w:t>
      </w:r>
      <w:r>
        <w:rPr>
          <w:rFonts w:hint="eastAsia" w:ascii="宋体" w:hAnsi="宋体"/>
          <w:b/>
          <w:color w:val="auto"/>
          <w:sz w:val="21"/>
        </w:rPr>
        <w:t xml:space="preserve"> 违约合同终止</w:t>
      </w:r>
    </w:p>
    <w:p w14:paraId="06387D42">
      <w:pPr>
        <w:pStyle w:val="21"/>
        <w:ind w:firstLine="420"/>
        <w:rPr>
          <w:rFonts w:hint="eastAsia" w:ascii="宋体" w:hAnsi="宋体"/>
          <w:color w:val="auto"/>
          <w:sz w:val="21"/>
        </w:rPr>
      </w:pPr>
      <w:r>
        <w:rPr>
          <w:rFonts w:hint="eastAsia" w:ascii="宋体" w:hAnsi="宋体"/>
          <w:color w:val="auto"/>
          <w:sz w:val="21"/>
        </w:rPr>
        <w:t>有下列情形之一，在对乙方违约提出警告无效的情况下，甲方可向乙方发出书面违约通知书，提出终止部分或者全部合同：</w:t>
      </w:r>
    </w:p>
    <w:p w14:paraId="145BC999">
      <w:pPr>
        <w:pStyle w:val="21"/>
        <w:ind w:firstLine="0" w:firstLineChars="0"/>
        <w:rPr>
          <w:rFonts w:hint="eastAsia" w:ascii="宋体" w:hAnsi="宋体"/>
          <w:color w:val="auto"/>
          <w:sz w:val="21"/>
        </w:rPr>
      </w:pPr>
      <w:r>
        <w:rPr>
          <w:rFonts w:ascii="宋体" w:hAnsi="宋体"/>
          <w:color w:val="auto"/>
          <w:sz w:val="21"/>
        </w:rPr>
        <w:t>2</w:t>
      </w:r>
      <w:r>
        <w:rPr>
          <w:rFonts w:hint="eastAsia" w:ascii="宋体" w:hAnsi="宋体"/>
          <w:color w:val="auto"/>
          <w:sz w:val="21"/>
        </w:rPr>
        <w:t>2</w:t>
      </w:r>
      <w:r>
        <w:rPr>
          <w:rFonts w:ascii="宋体" w:hAnsi="宋体"/>
          <w:color w:val="auto"/>
          <w:sz w:val="21"/>
        </w:rPr>
        <w:t xml:space="preserve">.1 </w:t>
      </w:r>
      <w:r>
        <w:rPr>
          <w:rFonts w:hint="eastAsia" w:ascii="宋体" w:hAnsi="宋体"/>
          <w:color w:val="auto"/>
          <w:sz w:val="21"/>
        </w:rPr>
        <w:t>乙方未能在合同条款规定的期限内或者在甲方根据第20.2条的规定同意延长的期限内提供部分或者全部货物；</w:t>
      </w:r>
    </w:p>
    <w:p w14:paraId="772E06A6">
      <w:pPr>
        <w:pStyle w:val="21"/>
        <w:ind w:firstLine="0" w:firstLineChars="0"/>
        <w:rPr>
          <w:rFonts w:hint="eastAsia" w:ascii="宋体" w:hAnsi="宋体"/>
          <w:color w:val="auto"/>
          <w:sz w:val="21"/>
        </w:rPr>
      </w:pPr>
      <w:r>
        <w:rPr>
          <w:rFonts w:ascii="宋体" w:hAnsi="宋体"/>
          <w:color w:val="auto"/>
          <w:sz w:val="21"/>
        </w:rPr>
        <w:t>2</w:t>
      </w:r>
      <w:r>
        <w:rPr>
          <w:rFonts w:hint="eastAsia" w:ascii="宋体" w:hAnsi="宋体"/>
          <w:color w:val="auto"/>
          <w:sz w:val="21"/>
        </w:rPr>
        <w:t>2</w:t>
      </w:r>
      <w:r>
        <w:rPr>
          <w:rFonts w:ascii="宋体" w:hAnsi="宋体"/>
          <w:color w:val="auto"/>
          <w:sz w:val="21"/>
        </w:rPr>
        <w:t xml:space="preserve">.2 </w:t>
      </w:r>
      <w:r>
        <w:rPr>
          <w:rFonts w:hint="eastAsia" w:ascii="宋体" w:hAnsi="宋体"/>
          <w:color w:val="auto"/>
          <w:sz w:val="21"/>
        </w:rPr>
        <w:t>乙方未能履行合同规定的其他任何义务；</w:t>
      </w:r>
    </w:p>
    <w:p w14:paraId="3CFADA3F">
      <w:pPr>
        <w:pStyle w:val="21"/>
        <w:ind w:firstLine="0" w:firstLineChars="0"/>
        <w:rPr>
          <w:rFonts w:hint="eastAsia" w:ascii="宋体" w:hAnsi="宋体"/>
          <w:color w:val="auto"/>
          <w:sz w:val="21"/>
        </w:rPr>
      </w:pPr>
      <w:r>
        <w:rPr>
          <w:rFonts w:ascii="宋体" w:hAnsi="宋体"/>
          <w:color w:val="auto"/>
          <w:sz w:val="21"/>
        </w:rPr>
        <w:t>2</w:t>
      </w:r>
      <w:r>
        <w:rPr>
          <w:rFonts w:hint="eastAsia" w:ascii="宋体" w:hAnsi="宋体"/>
          <w:color w:val="auto"/>
          <w:sz w:val="21"/>
        </w:rPr>
        <w:t>2</w:t>
      </w:r>
      <w:r>
        <w:rPr>
          <w:rFonts w:ascii="宋体" w:hAnsi="宋体"/>
          <w:color w:val="auto"/>
          <w:sz w:val="21"/>
        </w:rPr>
        <w:t xml:space="preserve">.3 </w:t>
      </w:r>
      <w:r>
        <w:rPr>
          <w:rFonts w:hint="eastAsia" w:ascii="宋体" w:hAnsi="宋体"/>
          <w:color w:val="auto"/>
          <w:sz w:val="21"/>
        </w:rPr>
        <w:t>甲方认为乙方在竞争和实施过程中有腐败和欺诈行为。</w:t>
      </w:r>
    </w:p>
    <w:p w14:paraId="07307833">
      <w:pPr>
        <w:pStyle w:val="21"/>
        <w:ind w:firstLine="0" w:firstLineChars="0"/>
        <w:rPr>
          <w:rFonts w:hint="eastAsia" w:ascii="宋体" w:hAnsi="宋体"/>
          <w:color w:val="auto"/>
          <w:sz w:val="21"/>
        </w:rPr>
      </w:pPr>
      <w:r>
        <w:rPr>
          <w:rFonts w:hint="eastAsia" w:ascii="宋体" w:hAnsi="宋体"/>
          <w:color w:val="auto"/>
          <w:sz w:val="21"/>
        </w:rPr>
        <w:t>为此目的，定义下述条件：</w:t>
      </w:r>
    </w:p>
    <w:p w14:paraId="741FF9BB">
      <w:pPr>
        <w:pStyle w:val="21"/>
        <w:ind w:firstLine="0" w:firstLineChars="0"/>
        <w:rPr>
          <w:rFonts w:hint="eastAsia" w:ascii="宋体" w:hAnsi="宋体"/>
          <w:color w:val="auto"/>
          <w:sz w:val="21"/>
        </w:rPr>
      </w:pPr>
      <w:r>
        <w:rPr>
          <w:rFonts w:ascii="宋体" w:hAnsi="宋体"/>
          <w:color w:val="auto"/>
          <w:sz w:val="21"/>
        </w:rPr>
        <w:t>2</w:t>
      </w:r>
      <w:r>
        <w:rPr>
          <w:rFonts w:hint="eastAsia" w:ascii="宋体" w:hAnsi="宋体"/>
          <w:color w:val="auto"/>
          <w:sz w:val="21"/>
        </w:rPr>
        <w:t>2</w:t>
      </w:r>
      <w:r>
        <w:rPr>
          <w:rFonts w:ascii="宋体" w:hAnsi="宋体"/>
          <w:color w:val="auto"/>
          <w:sz w:val="21"/>
        </w:rPr>
        <w:t xml:space="preserve">.3.1 </w:t>
      </w:r>
      <w:r>
        <w:rPr>
          <w:rFonts w:hint="eastAsia" w:ascii="宋体" w:hAnsi="宋体"/>
          <w:color w:val="auto"/>
          <w:sz w:val="21"/>
        </w:rPr>
        <w:t>“腐败行为”是指提供、给予、接受或者索取任何有价值的物品来影响有关人员在采购过程或者合同实施过程中的行为；</w:t>
      </w:r>
    </w:p>
    <w:p w14:paraId="1352A642">
      <w:pPr>
        <w:pStyle w:val="20"/>
        <w:tabs>
          <w:tab w:val="left" w:pos="1395"/>
        </w:tabs>
        <w:spacing w:line="360" w:lineRule="auto"/>
        <w:jc w:val="both"/>
        <w:rPr>
          <w:rFonts w:hint="eastAsia" w:ascii="宋体" w:hAnsi="宋体"/>
          <w:color w:val="auto"/>
          <w:sz w:val="21"/>
        </w:rPr>
      </w:pPr>
      <w:r>
        <w:rPr>
          <w:rFonts w:ascii="宋体" w:hAnsi="宋体"/>
          <w:color w:val="auto"/>
          <w:sz w:val="21"/>
        </w:rPr>
        <w:t>2</w:t>
      </w:r>
      <w:r>
        <w:rPr>
          <w:rFonts w:hint="eastAsia" w:ascii="宋体" w:hAnsi="宋体"/>
          <w:color w:val="auto"/>
          <w:sz w:val="21"/>
        </w:rPr>
        <w:t>2</w:t>
      </w:r>
      <w:r>
        <w:rPr>
          <w:rFonts w:ascii="宋体" w:hAnsi="宋体"/>
          <w:color w:val="auto"/>
          <w:sz w:val="21"/>
        </w:rPr>
        <w:t xml:space="preserve">.3.2 </w:t>
      </w:r>
      <w:r>
        <w:rPr>
          <w:rFonts w:hint="eastAsia" w:ascii="宋体" w:hAnsi="宋体"/>
          <w:color w:val="auto"/>
          <w:sz w:val="21"/>
        </w:rPr>
        <w:t>“欺诈行为”是指为了影响采购过程或者合同实施过程而谎报事实、损害甲方的利益的行为。</w:t>
      </w:r>
    </w:p>
    <w:p w14:paraId="20C81406">
      <w:pPr>
        <w:pStyle w:val="20"/>
        <w:tabs>
          <w:tab w:val="left" w:pos="1395"/>
        </w:tabs>
        <w:spacing w:line="360" w:lineRule="auto"/>
        <w:jc w:val="both"/>
        <w:rPr>
          <w:rFonts w:hint="eastAsia" w:ascii="宋体" w:hAnsi="宋体"/>
          <w:color w:val="auto"/>
          <w:sz w:val="21"/>
        </w:rPr>
      </w:pPr>
      <w:r>
        <w:rPr>
          <w:rFonts w:hint="eastAsia" w:ascii="宋体" w:hAnsi="宋体"/>
          <w:color w:val="auto"/>
          <w:sz w:val="21"/>
        </w:rPr>
        <w:t>22.3.3 如甲方未按本合同约定期限内支付货款超过三十日的，乙方有权单方面解除本合同，并要求甲方赔偿乙方因甲方违约遭受的全部损失。</w:t>
      </w:r>
    </w:p>
    <w:p w14:paraId="63F9B917">
      <w:pPr>
        <w:pStyle w:val="20"/>
        <w:tabs>
          <w:tab w:val="left" w:pos="1395"/>
        </w:tabs>
        <w:spacing w:line="360" w:lineRule="auto"/>
        <w:jc w:val="both"/>
        <w:rPr>
          <w:rFonts w:hint="eastAsia" w:ascii="宋体" w:hAnsi="宋体"/>
          <w:color w:val="auto"/>
          <w:sz w:val="21"/>
        </w:rPr>
      </w:pPr>
      <w:r>
        <w:rPr>
          <w:rFonts w:hint="eastAsia" w:ascii="宋体" w:hAnsi="宋体"/>
          <w:color w:val="auto"/>
          <w:sz w:val="21"/>
        </w:rPr>
        <w:t>22.4集成服务违约终止</w:t>
      </w:r>
    </w:p>
    <w:p w14:paraId="6A53A0A6">
      <w:pPr>
        <w:pStyle w:val="20"/>
        <w:tabs>
          <w:tab w:val="left" w:pos="1395"/>
        </w:tabs>
        <w:spacing w:line="360" w:lineRule="auto"/>
        <w:jc w:val="both"/>
        <w:rPr>
          <w:rFonts w:hint="eastAsia" w:ascii="宋体" w:hAnsi="宋体"/>
          <w:color w:val="auto"/>
          <w:sz w:val="21"/>
        </w:rPr>
      </w:pPr>
      <w:r>
        <w:rPr>
          <w:rFonts w:ascii="宋体" w:hAnsi="宋体"/>
          <w:color w:val="auto"/>
          <w:sz w:val="21"/>
        </w:rPr>
        <w:t>乙方设计、安装、调试、试运行任一环节严重不合格，经两次整改仍无法达标，甲方有权单方解除合同，乙方退还全部货款并赔偿甲方实际损失。</w:t>
      </w:r>
    </w:p>
    <w:p w14:paraId="1C99ABCF">
      <w:pPr>
        <w:spacing w:line="360" w:lineRule="auto"/>
        <w:rPr>
          <w:rFonts w:hint="eastAsia" w:ascii="宋体" w:hAnsi="宋体" w:eastAsia="宋体"/>
          <w:b/>
          <w:color w:val="auto"/>
          <w:spacing w:val="10"/>
          <w:szCs w:val="21"/>
        </w:rPr>
      </w:pPr>
      <w:r>
        <w:rPr>
          <w:rFonts w:hint="eastAsia" w:ascii="宋体" w:hAnsi="宋体" w:eastAsia="宋体"/>
          <w:b/>
          <w:color w:val="auto"/>
          <w:spacing w:val="10"/>
          <w:szCs w:val="21"/>
        </w:rPr>
        <w:t>二十三</w:t>
      </w:r>
      <w:r>
        <w:rPr>
          <w:rFonts w:ascii="宋体" w:hAnsi="宋体" w:eastAsia="宋体"/>
          <w:b/>
          <w:color w:val="auto"/>
          <w:spacing w:val="10"/>
          <w:szCs w:val="21"/>
        </w:rPr>
        <w:t>、</w:t>
      </w:r>
      <w:r>
        <w:rPr>
          <w:rFonts w:hint="eastAsia" w:ascii="宋体" w:hAnsi="宋体" w:eastAsia="宋体"/>
          <w:b/>
          <w:color w:val="auto"/>
          <w:spacing w:val="10"/>
          <w:szCs w:val="21"/>
        </w:rPr>
        <w:t>保密</w:t>
      </w:r>
    </w:p>
    <w:p w14:paraId="0C369D64">
      <w:pPr>
        <w:pStyle w:val="20"/>
        <w:spacing w:line="360" w:lineRule="auto"/>
        <w:ind w:firstLine="420" w:firstLineChars="200"/>
        <w:jc w:val="both"/>
        <w:rPr>
          <w:rFonts w:hint="eastAsia" w:ascii="宋体" w:hAnsi="宋体"/>
          <w:color w:val="auto"/>
          <w:sz w:val="21"/>
          <w:szCs w:val="21"/>
        </w:rPr>
      </w:pPr>
      <w:r>
        <w:rPr>
          <w:rFonts w:hint="eastAsia" w:ascii="宋体" w:hAnsi="宋体"/>
          <w:color w:val="auto"/>
          <w:sz w:val="21"/>
          <w:szCs w:val="21"/>
        </w:rPr>
        <w:t>任何一方，未经对方书面同意，不得向任何第三方透露本合同内容，以及任何从对方获得的保密信息，保密信息仅能用于执行本合同之目的。本条款在本合同终止后叁年内继续有效。</w:t>
      </w:r>
      <w:r>
        <w:rPr>
          <w:rFonts w:ascii="宋体" w:hAnsi="宋体"/>
          <w:color w:val="auto"/>
          <w:sz w:val="21"/>
          <w:szCs w:val="21"/>
        </w:rPr>
        <w:t xml:space="preserve"> </w:t>
      </w:r>
    </w:p>
    <w:p w14:paraId="099D179A">
      <w:pPr>
        <w:pStyle w:val="20"/>
        <w:spacing w:line="360" w:lineRule="auto"/>
        <w:ind w:firstLine="420" w:firstLineChars="200"/>
        <w:jc w:val="both"/>
        <w:rPr>
          <w:rFonts w:hint="eastAsia" w:ascii="宋体" w:hAnsi="宋体"/>
          <w:color w:val="auto"/>
          <w:sz w:val="21"/>
          <w:szCs w:val="21"/>
        </w:rPr>
      </w:pPr>
      <w:r>
        <w:rPr>
          <w:rFonts w:hint="eastAsia" w:ascii="宋体" w:hAnsi="宋体"/>
          <w:color w:val="auto"/>
          <w:sz w:val="21"/>
          <w:szCs w:val="21"/>
        </w:rPr>
        <w:t>下列信息不属于保密信息：（</w:t>
      </w:r>
      <w:r>
        <w:rPr>
          <w:rFonts w:ascii="宋体" w:hAnsi="宋体"/>
          <w:color w:val="auto"/>
          <w:sz w:val="21"/>
          <w:szCs w:val="21"/>
        </w:rPr>
        <w:t>1</w:t>
      </w:r>
      <w:r>
        <w:rPr>
          <w:rFonts w:hint="eastAsia" w:ascii="宋体" w:hAnsi="宋体"/>
          <w:color w:val="auto"/>
          <w:sz w:val="21"/>
          <w:szCs w:val="21"/>
        </w:rPr>
        <w:t>）已属于公知领域内的任何信息，或非因接收方的过错而成为公知领域的信息；（</w:t>
      </w:r>
      <w:r>
        <w:rPr>
          <w:rFonts w:ascii="宋体" w:hAnsi="宋体"/>
          <w:color w:val="auto"/>
          <w:sz w:val="21"/>
          <w:szCs w:val="21"/>
        </w:rPr>
        <w:t>2</w:t>
      </w:r>
      <w:r>
        <w:rPr>
          <w:rFonts w:hint="eastAsia" w:ascii="宋体" w:hAnsi="宋体"/>
          <w:color w:val="auto"/>
          <w:sz w:val="21"/>
          <w:szCs w:val="21"/>
        </w:rPr>
        <w:t>）接收方在披露时已经通过合法方式获得的信息；（</w:t>
      </w:r>
      <w:r>
        <w:rPr>
          <w:rFonts w:ascii="宋体" w:hAnsi="宋体"/>
          <w:color w:val="auto"/>
          <w:sz w:val="21"/>
          <w:szCs w:val="21"/>
        </w:rPr>
        <w:t>3</w:t>
      </w:r>
      <w:r>
        <w:rPr>
          <w:rFonts w:hint="eastAsia" w:ascii="宋体" w:hAnsi="宋体"/>
          <w:color w:val="auto"/>
          <w:sz w:val="21"/>
          <w:szCs w:val="21"/>
        </w:rPr>
        <w:t>）接收方独立开发的信息；（</w:t>
      </w:r>
      <w:r>
        <w:rPr>
          <w:rFonts w:ascii="宋体" w:hAnsi="宋体"/>
          <w:color w:val="auto"/>
          <w:sz w:val="21"/>
          <w:szCs w:val="21"/>
        </w:rPr>
        <w:t>4</w:t>
      </w:r>
      <w:r>
        <w:rPr>
          <w:rFonts w:hint="eastAsia" w:ascii="宋体" w:hAnsi="宋体"/>
          <w:color w:val="auto"/>
          <w:sz w:val="21"/>
          <w:szCs w:val="21"/>
        </w:rPr>
        <w:t>）根据法律法规被要求披露的信息，但此种情况下，接受方应当及时通知披露方以便其能够采取措施保护其保密信息。</w:t>
      </w:r>
    </w:p>
    <w:p w14:paraId="17FCEEB0">
      <w:pPr>
        <w:spacing w:line="360" w:lineRule="auto"/>
        <w:rPr>
          <w:rFonts w:hint="eastAsia" w:ascii="宋体" w:hAnsi="宋体" w:eastAsia="宋体"/>
          <w:b/>
          <w:color w:val="auto"/>
          <w:spacing w:val="10"/>
          <w:szCs w:val="21"/>
        </w:rPr>
      </w:pPr>
      <w:r>
        <w:rPr>
          <w:rFonts w:hint="eastAsia" w:ascii="宋体" w:hAnsi="宋体" w:eastAsia="宋体"/>
          <w:b/>
          <w:color w:val="auto"/>
          <w:spacing w:val="10"/>
          <w:szCs w:val="21"/>
        </w:rPr>
        <w:t>二十四</w:t>
      </w:r>
      <w:r>
        <w:rPr>
          <w:rFonts w:ascii="宋体" w:hAnsi="宋体" w:eastAsia="宋体"/>
          <w:b/>
          <w:color w:val="auto"/>
          <w:spacing w:val="10"/>
          <w:szCs w:val="21"/>
        </w:rPr>
        <w:t>、</w:t>
      </w:r>
      <w:r>
        <w:rPr>
          <w:rFonts w:hint="eastAsia" w:ascii="宋体" w:hAnsi="宋体" w:eastAsia="宋体"/>
          <w:b/>
          <w:color w:val="auto"/>
          <w:spacing w:val="10"/>
          <w:szCs w:val="21"/>
        </w:rPr>
        <w:t xml:space="preserve">  争议的解决</w:t>
      </w:r>
    </w:p>
    <w:p w14:paraId="59D3D441">
      <w:pPr>
        <w:pStyle w:val="21"/>
        <w:ind w:firstLine="0" w:firstLineChars="0"/>
        <w:rPr>
          <w:rFonts w:hint="eastAsia" w:ascii="宋体" w:hAnsi="宋体"/>
          <w:color w:val="auto"/>
          <w:sz w:val="21"/>
        </w:rPr>
      </w:pPr>
      <w:r>
        <w:rPr>
          <w:rFonts w:hint="eastAsia" w:ascii="宋体" w:hAnsi="宋体"/>
          <w:color w:val="auto"/>
          <w:spacing w:val="10"/>
          <w:sz w:val="21"/>
        </w:rPr>
        <w:t>24.1合同在履行过程中若发生争议,</w:t>
      </w:r>
      <w:r>
        <w:rPr>
          <w:rFonts w:ascii="宋体" w:hAnsi="宋体"/>
          <w:color w:val="auto"/>
          <w:spacing w:val="10"/>
          <w:sz w:val="21"/>
        </w:rPr>
        <w:t xml:space="preserve"> </w:t>
      </w:r>
      <w:r>
        <w:rPr>
          <w:rFonts w:hint="eastAsia" w:ascii="宋体" w:hAnsi="宋体"/>
          <w:color w:val="auto"/>
          <w:spacing w:val="10"/>
          <w:sz w:val="21"/>
        </w:rPr>
        <w:t>首先由双方友好协商解决。 若协商不成,</w:t>
      </w:r>
      <w:r>
        <w:rPr>
          <w:rFonts w:ascii="宋体" w:hAnsi="宋体"/>
          <w:color w:val="auto"/>
          <w:spacing w:val="10"/>
          <w:sz w:val="21"/>
        </w:rPr>
        <w:t xml:space="preserve"> </w:t>
      </w:r>
      <w:r>
        <w:rPr>
          <w:rFonts w:hint="eastAsia" w:ascii="宋体" w:hAnsi="宋体"/>
          <w:color w:val="auto"/>
          <w:spacing w:val="10"/>
          <w:sz w:val="21"/>
        </w:rPr>
        <w:t>则提交原告方所在地的人民法院解决。</w:t>
      </w:r>
    </w:p>
    <w:p w14:paraId="78958C72">
      <w:pPr>
        <w:spacing w:line="360" w:lineRule="auto"/>
        <w:rPr>
          <w:rFonts w:hint="eastAsia" w:ascii="宋体" w:hAnsi="宋体" w:eastAsia="宋体"/>
          <w:color w:val="auto"/>
          <w:spacing w:val="10"/>
          <w:szCs w:val="21"/>
        </w:rPr>
      </w:pPr>
      <w:r>
        <w:rPr>
          <w:rFonts w:ascii="宋体" w:hAnsi="宋体" w:eastAsia="宋体"/>
          <w:color w:val="auto"/>
        </w:rPr>
        <w:t>2</w:t>
      </w:r>
      <w:r>
        <w:rPr>
          <w:rFonts w:hint="eastAsia" w:ascii="宋体" w:hAnsi="宋体" w:eastAsia="宋体"/>
          <w:color w:val="auto"/>
        </w:rPr>
        <w:t>4</w:t>
      </w:r>
      <w:r>
        <w:rPr>
          <w:rFonts w:ascii="宋体" w:hAnsi="宋体" w:eastAsia="宋体"/>
          <w:color w:val="auto"/>
        </w:rPr>
        <w:t xml:space="preserve">.2 </w:t>
      </w:r>
      <w:r>
        <w:rPr>
          <w:rFonts w:hint="eastAsia" w:ascii="宋体" w:hAnsi="宋体" w:eastAsia="宋体"/>
          <w:color w:val="auto"/>
        </w:rPr>
        <w:t>在争议期间，除存在争议的部分外，本合同其他部分应当继续执行。</w:t>
      </w:r>
    </w:p>
    <w:p w14:paraId="30F048E7">
      <w:pPr>
        <w:spacing w:line="360" w:lineRule="auto"/>
        <w:rPr>
          <w:rFonts w:hint="eastAsia" w:ascii="宋体" w:hAnsi="宋体" w:eastAsia="宋体"/>
          <w:b/>
          <w:color w:val="auto"/>
          <w:spacing w:val="10"/>
          <w:szCs w:val="21"/>
        </w:rPr>
      </w:pPr>
      <w:r>
        <w:rPr>
          <w:rFonts w:hint="eastAsia" w:ascii="宋体" w:hAnsi="宋体" w:eastAsia="宋体"/>
          <w:b/>
          <w:color w:val="auto"/>
          <w:spacing w:val="10"/>
          <w:szCs w:val="21"/>
        </w:rPr>
        <w:t>二十五</w:t>
      </w:r>
      <w:r>
        <w:rPr>
          <w:rFonts w:ascii="宋体" w:hAnsi="宋体" w:eastAsia="宋体"/>
          <w:b/>
          <w:color w:val="auto"/>
          <w:spacing w:val="10"/>
          <w:szCs w:val="21"/>
        </w:rPr>
        <w:t>、</w:t>
      </w:r>
      <w:r>
        <w:rPr>
          <w:rFonts w:hint="eastAsia" w:ascii="宋体" w:hAnsi="宋体" w:eastAsia="宋体"/>
          <w:b/>
          <w:color w:val="auto"/>
          <w:spacing w:val="10"/>
          <w:szCs w:val="21"/>
        </w:rPr>
        <w:t xml:space="preserve"> 不可抗力</w:t>
      </w:r>
    </w:p>
    <w:p w14:paraId="564D0A7D">
      <w:pPr>
        <w:spacing w:line="360" w:lineRule="auto"/>
        <w:ind w:firstLine="420" w:firstLineChars="200"/>
        <w:rPr>
          <w:rFonts w:hint="eastAsia" w:ascii="宋体" w:hAnsi="宋体" w:eastAsia="宋体"/>
          <w:color w:val="auto"/>
          <w:kern w:val="0"/>
          <w:szCs w:val="21"/>
        </w:rPr>
      </w:pPr>
      <w:r>
        <w:rPr>
          <w:rFonts w:hint="eastAsia" w:ascii="宋体" w:hAnsi="宋体" w:eastAsia="宋体"/>
          <w:color w:val="auto"/>
          <w:kern w:val="0"/>
          <w:szCs w:val="21"/>
        </w:rPr>
        <w:t>因台风、地震、水灾以及其他非甲、乙方责任造成的不能预见、不能避免并不能克服的客观情况视为不可抗力。遭遇不可抗力的一方应该立即通知对方，并于不可抗力发生日起</w:t>
      </w:r>
      <w:r>
        <w:rPr>
          <w:rFonts w:ascii="宋体" w:hAnsi="宋体" w:eastAsia="宋体"/>
          <w:color w:val="auto"/>
          <w:kern w:val="0"/>
          <w:szCs w:val="21"/>
        </w:rPr>
        <w:t>15</w:t>
      </w:r>
      <w:r>
        <w:rPr>
          <w:rFonts w:hint="eastAsia" w:ascii="宋体" w:hAnsi="宋体" w:eastAsia="宋体"/>
          <w:color w:val="auto"/>
          <w:kern w:val="0"/>
          <w:szCs w:val="21"/>
        </w:rPr>
        <w:t>天内提供相关权威部门的证明以及如何履行合同的方案。依据不可抗力对合同履行的影响程度，双方可协商解决履行合同的具体方式。</w:t>
      </w:r>
    </w:p>
    <w:p w14:paraId="4A2F675E">
      <w:pPr>
        <w:spacing w:line="360" w:lineRule="auto"/>
        <w:rPr>
          <w:rFonts w:hint="eastAsia" w:ascii="宋体" w:hAnsi="宋体" w:eastAsia="宋体"/>
          <w:b/>
          <w:color w:val="auto"/>
          <w:spacing w:val="10"/>
          <w:szCs w:val="21"/>
        </w:rPr>
      </w:pPr>
      <w:r>
        <w:rPr>
          <w:rFonts w:hint="eastAsia" w:ascii="宋体" w:hAnsi="宋体" w:eastAsia="宋体"/>
          <w:b/>
          <w:color w:val="auto"/>
          <w:spacing w:val="10"/>
          <w:szCs w:val="21"/>
        </w:rPr>
        <w:t>二十六</w:t>
      </w:r>
      <w:r>
        <w:rPr>
          <w:rFonts w:ascii="宋体" w:hAnsi="宋体" w:eastAsia="宋体"/>
          <w:b/>
          <w:color w:val="auto"/>
          <w:spacing w:val="10"/>
          <w:szCs w:val="21"/>
        </w:rPr>
        <w:t>、</w:t>
      </w:r>
      <w:r>
        <w:rPr>
          <w:rFonts w:hint="eastAsia" w:ascii="宋体" w:hAnsi="宋体" w:eastAsia="宋体"/>
          <w:b/>
          <w:color w:val="auto"/>
          <w:spacing w:val="10"/>
          <w:szCs w:val="21"/>
        </w:rPr>
        <w:t xml:space="preserve"> 合同的修改</w:t>
      </w:r>
    </w:p>
    <w:p w14:paraId="1748D33A">
      <w:pPr>
        <w:spacing w:line="360" w:lineRule="auto"/>
        <w:ind w:firstLine="420" w:firstLineChars="200"/>
        <w:rPr>
          <w:rFonts w:hint="eastAsia" w:ascii="宋体" w:hAnsi="宋体" w:eastAsia="宋体"/>
          <w:color w:val="auto"/>
          <w:szCs w:val="21"/>
        </w:rPr>
      </w:pPr>
      <w:r>
        <w:rPr>
          <w:rFonts w:hint="eastAsia" w:ascii="宋体" w:hAnsi="宋体" w:eastAsia="宋体"/>
          <w:color w:val="auto"/>
          <w:szCs w:val="21"/>
        </w:rPr>
        <w:t>本合同在履行过程中如需修改、补充，须经甲、乙双方共同协商，并签订书面补充协议后方可生效。</w:t>
      </w:r>
    </w:p>
    <w:p w14:paraId="39C0116F">
      <w:pPr>
        <w:spacing w:line="360" w:lineRule="auto"/>
        <w:rPr>
          <w:rFonts w:hint="eastAsia" w:ascii="宋体" w:hAnsi="宋体" w:eastAsia="宋体"/>
          <w:b/>
          <w:color w:val="auto"/>
          <w:szCs w:val="21"/>
        </w:rPr>
      </w:pPr>
      <w:r>
        <w:rPr>
          <w:rFonts w:hint="eastAsia" w:ascii="宋体" w:hAnsi="宋体" w:eastAsia="宋体"/>
          <w:b/>
          <w:color w:val="auto"/>
          <w:spacing w:val="10"/>
          <w:szCs w:val="21"/>
        </w:rPr>
        <w:t>二十七</w:t>
      </w:r>
      <w:r>
        <w:rPr>
          <w:rFonts w:ascii="宋体" w:hAnsi="宋体" w:eastAsia="宋体"/>
          <w:b/>
          <w:color w:val="auto"/>
          <w:spacing w:val="10"/>
          <w:szCs w:val="21"/>
        </w:rPr>
        <w:t>、</w:t>
      </w:r>
      <w:r>
        <w:rPr>
          <w:rFonts w:hint="eastAsia" w:ascii="宋体" w:hAnsi="宋体" w:eastAsia="宋体"/>
          <w:b/>
          <w:color w:val="auto"/>
          <w:spacing w:val="10"/>
          <w:szCs w:val="21"/>
        </w:rPr>
        <w:t xml:space="preserve"> 合同及其附件的效力</w:t>
      </w:r>
    </w:p>
    <w:p w14:paraId="2B380D61">
      <w:pPr>
        <w:pStyle w:val="4"/>
        <w:spacing w:line="360" w:lineRule="auto"/>
        <w:ind w:left="0" w:leftChars="0" w:firstLine="420" w:firstLineChars="200"/>
        <w:rPr>
          <w:rFonts w:hint="eastAsia" w:ascii="宋体" w:hAnsi="宋体"/>
          <w:color w:val="auto"/>
          <w:szCs w:val="21"/>
        </w:rPr>
      </w:pPr>
      <w:r>
        <w:rPr>
          <w:rFonts w:hint="eastAsia" w:ascii="宋体" w:hAnsi="宋体"/>
          <w:color w:val="auto"/>
          <w:szCs w:val="21"/>
        </w:rPr>
        <w:t>本合同及其附件具有同等法律效力，对条款的理解发生争议时，以附件的内容为准。</w:t>
      </w:r>
    </w:p>
    <w:p w14:paraId="251292C1">
      <w:pPr>
        <w:pStyle w:val="4"/>
        <w:spacing w:line="360" w:lineRule="auto"/>
        <w:ind w:left="0" w:leftChars="0" w:firstLine="420" w:firstLineChars="200"/>
        <w:rPr>
          <w:rFonts w:hint="eastAsia" w:ascii="宋体" w:hAnsi="宋体"/>
          <w:color w:val="auto"/>
          <w:szCs w:val="21"/>
        </w:rPr>
      </w:pPr>
      <w:r>
        <w:rPr>
          <w:rFonts w:hint="eastAsia" w:ascii="宋体" w:hAnsi="宋体"/>
          <w:color w:val="auto"/>
          <w:szCs w:val="21"/>
        </w:rPr>
        <w:t>27.1技术规范书效力</w:t>
      </w:r>
    </w:p>
    <w:p w14:paraId="0D376ABF">
      <w:pPr>
        <w:pStyle w:val="4"/>
        <w:spacing w:line="360" w:lineRule="auto"/>
        <w:ind w:left="0" w:leftChars="0" w:firstLine="420" w:firstLineChars="200"/>
        <w:rPr>
          <w:rFonts w:hint="eastAsia" w:ascii="宋体" w:hAnsi="宋体"/>
          <w:color w:val="auto"/>
          <w:szCs w:val="21"/>
        </w:rPr>
      </w:pPr>
      <w:r>
        <w:rPr>
          <w:rFonts w:ascii="宋体" w:hAnsi="宋体"/>
          <w:color w:val="auto"/>
          <w:szCs w:val="21"/>
        </w:rPr>
        <w:t>附件《OTN 传输设备技术规范书（2026 年 5 月）》为本合同不可分割部分，与本合同正文具有同等法律效力，技术要求以技术规范书为准。</w:t>
      </w:r>
    </w:p>
    <w:p w14:paraId="0EFB7037">
      <w:pPr>
        <w:pStyle w:val="4"/>
        <w:spacing w:line="360" w:lineRule="auto"/>
        <w:ind w:left="0" w:leftChars="0"/>
        <w:rPr>
          <w:rFonts w:hint="eastAsia" w:ascii="宋体" w:hAnsi="宋体"/>
          <w:b/>
          <w:color w:val="auto"/>
          <w:spacing w:val="10"/>
          <w:szCs w:val="21"/>
        </w:rPr>
      </w:pPr>
      <w:r>
        <w:rPr>
          <w:rFonts w:hint="eastAsia" w:ascii="宋体" w:hAnsi="宋体"/>
          <w:b/>
          <w:color w:val="auto"/>
          <w:spacing w:val="10"/>
          <w:szCs w:val="21"/>
        </w:rPr>
        <w:t>二十八</w:t>
      </w:r>
      <w:r>
        <w:rPr>
          <w:rFonts w:ascii="宋体" w:hAnsi="宋体"/>
          <w:b/>
          <w:color w:val="auto"/>
          <w:spacing w:val="10"/>
          <w:szCs w:val="21"/>
        </w:rPr>
        <w:t>、</w:t>
      </w:r>
      <w:r>
        <w:rPr>
          <w:rFonts w:hint="eastAsia" w:ascii="宋体" w:hAnsi="宋体"/>
          <w:b/>
          <w:color w:val="auto"/>
          <w:spacing w:val="10"/>
          <w:szCs w:val="21"/>
        </w:rPr>
        <w:t xml:space="preserve"> 货物所有权保留</w:t>
      </w:r>
    </w:p>
    <w:p w14:paraId="4A07367F">
      <w:pPr>
        <w:pStyle w:val="4"/>
        <w:spacing w:line="360" w:lineRule="auto"/>
        <w:ind w:left="0" w:leftChars="0"/>
        <w:rPr>
          <w:rFonts w:hint="eastAsia" w:ascii="宋体" w:hAnsi="宋体"/>
          <w:color w:val="auto"/>
          <w:szCs w:val="21"/>
        </w:rPr>
      </w:pPr>
      <w:r>
        <w:rPr>
          <w:rFonts w:hint="eastAsia" w:ascii="宋体" w:hAnsi="宋体"/>
          <w:b/>
          <w:color w:val="auto"/>
          <w:spacing w:val="10"/>
          <w:szCs w:val="21"/>
        </w:rPr>
        <w:t xml:space="preserve">   </w:t>
      </w:r>
      <w:r>
        <w:rPr>
          <w:rFonts w:hint="eastAsia" w:ascii="宋体" w:hAnsi="宋体"/>
          <w:color w:val="auto"/>
          <w:szCs w:val="21"/>
        </w:rPr>
        <w:t xml:space="preserve"> 双方一致同意：在甲方未付清全部合同款之前，此合同中所签定货物的所有权归乙方所有，甲方付清全部合同款当日货物的所有权归甲方所有。</w:t>
      </w:r>
    </w:p>
    <w:p w14:paraId="47E20E7E">
      <w:pPr>
        <w:spacing w:line="360" w:lineRule="auto"/>
        <w:rPr>
          <w:rFonts w:hint="eastAsia" w:ascii="宋体" w:hAnsi="宋体" w:eastAsia="宋体"/>
          <w:b/>
          <w:color w:val="auto"/>
          <w:spacing w:val="10"/>
          <w:szCs w:val="21"/>
        </w:rPr>
      </w:pPr>
      <w:r>
        <w:rPr>
          <w:rFonts w:hint="eastAsia" w:ascii="宋体" w:hAnsi="宋体" w:eastAsia="宋体"/>
          <w:b/>
          <w:color w:val="auto"/>
          <w:spacing w:val="10"/>
          <w:szCs w:val="21"/>
        </w:rPr>
        <w:t>二十九</w:t>
      </w:r>
      <w:r>
        <w:rPr>
          <w:rFonts w:ascii="宋体" w:hAnsi="宋体" w:eastAsia="宋体"/>
          <w:b/>
          <w:color w:val="auto"/>
          <w:spacing w:val="10"/>
          <w:szCs w:val="21"/>
        </w:rPr>
        <w:t>、</w:t>
      </w:r>
      <w:r>
        <w:rPr>
          <w:rFonts w:hint="eastAsia" w:ascii="宋体" w:hAnsi="宋体" w:eastAsia="宋体"/>
          <w:b/>
          <w:color w:val="auto"/>
          <w:spacing w:val="10"/>
          <w:szCs w:val="21"/>
        </w:rPr>
        <w:t xml:space="preserve"> 合同的生效</w:t>
      </w:r>
    </w:p>
    <w:p w14:paraId="5388C3DA">
      <w:pPr>
        <w:pStyle w:val="21"/>
        <w:ind w:firstLine="0" w:firstLineChars="0"/>
        <w:rPr>
          <w:rFonts w:hint="eastAsia" w:ascii="宋体" w:hAnsi="宋体"/>
          <w:color w:val="auto"/>
          <w:sz w:val="21"/>
        </w:rPr>
      </w:pPr>
      <w:r>
        <w:rPr>
          <w:rFonts w:hint="eastAsia" w:ascii="宋体" w:hAnsi="宋体"/>
          <w:color w:val="auto"/>
          <w:sz w:val="21"/>
        </w:rPr>
        <w:t>29</w:t>
      </w:r>
      <w:r>
        <w:rPr>
          <w:rFonts w:ascii="宋体" w:hAnsi="宋体"/>
          <w:color w:val="auto"/>
          <w:sz w:val="21"/>
        </w:rPr>
        <w:t>.1</w:t>
      </w:r>
      <w:r>
        <w:rPr>
          <w:rFonts w:hint="eastAsia" w:ascii="宋体" w:hAnsi="宋体"/>
          <w:color w:val="auto"/>
          <w:sz w:val="21"/>
        </w:rPr>
        <w:t>本合同一</w:t>
      </w:r>
      <w:r>
        <w:rPr>
          <w:rFonts w:hint="eastAsia" w:ascii="宋体" w:hAnsi="宋体"/>
          <w:color w:val="auto"/>
          <w:kern w:val="0"/>
          <w:sz w:val="21"/>
        </w:rPr>
        <w:t>式肆份，甲乙双方各执贰份，具有同等法律效力，本合同自双方法定代表人或授权代表签字并</w:t>
      </w:r>
      <w:r>
        <w:rPr>
          <w:rFonts w:hint="eastAsia" w:ascii="宋体" w:hAnsi="宋体"/>
          <w:color w:val="auto"/>
          <w:sz w:val="21"/>
        </w:rPr>
        <w:t>盖章（公章或合同章）后即时生效。</w:t>
      </w:r>
    </w:p>
    <w:p w14:paraId="783734E6">
      <w:pPr>
        <w:pStyle w:val="21"/>
        <w:ind w:firstLine="0" w:firstLineChars="0"/>
        <w:rPr>
          <w:rFonts w:hint="eastAsia" w:ascii="宋体" w:hAnsi="宋体"/>
          <w:color w:val="auto"/>
          <w:sz w:val="21"/>
        </w:rPr>
      </w:pPr>
      <w:r>
        <w:rPr>
          <w:rFonts w:hint="eastAsia" w:ascii="宋体" w:hAnsi="宋体"/>
          <w:color w:val="auto"/>
          <w:sz w:val="21"/>
        </w:rPr>
        <w:t>29</w:t>
      </w:r>
      <w:r>
        <w:rPr>
          <w:rFonts w:ascii="宋体" w:hAnsi="宋体"/>
          <w:color w:val="auto"/>
          <w:sz w:val="21"/>
        </w:rPr>
        <w:t xml:space="preserve">.2 </w:t>
      </w:r>
      <w:r>
        <w:rPr>
          <w:rFonts w:hint="eastAsia" w:ascii="宋体" w:hAnsi="宋体"/>
          <w:color w:val="auto"/>
          <w:sz w:val="21"/>
        </w:rPr>
        <w:t>合同附件为合同文件不可分割的部分，与合同文件具有同等效力。合同附件如下:</w:t>
      </w:r>
      <w:r>
        <w:rPr>
          <w:rFonts w:ascii="宋体" w:hAnsi="宋体"/>
          <w:color w:val="auto"/>
          <w:sz w:val="21"/>
        </w:rPr>
        <w:t xml:space="preserve"> </w:t>
      </w:r>
    </w:p>
    <w:p w14:paraId="6D965246">
      <w:pPr>
        <w:pStyle w:val="21"/>
        <w:ind w:firstLine="0" w:firstLineChars="0"/>
        <w:rPr>
          <w:rFonts w:hint="eastAsia" w:ascii="宋体" w:hAnsi="宋体"/>
          <w:color w:val="auto"/>
          <w:sz w:val="21"/>
        </w:rPr>
      </w:pPr>
      <w:r>
        <w:rPr>
          <w:rFonts w:hint="eastAsia" w:ascii="宋体" w:hAnsi="宋体"/>
          <w:color w:val="auto"/>
          <w:sz w:val="21"/>
        </w:rPr>
        <w:t>29</w:t>
      </w:r>
      <w:r>
        <w:rPr>
          <w:rFonts w:ascii="宋体" w:hAnsi="宋体"/>
          <w:color w:val="auto"/>
          <w:sz w:val="21"/>
        </w:rPr>
        <w:t xml:space="preserve">.2.1 </w:t>
      </w:r>
      <w:r>
        <w:rPr>
          <w:rFonts w:hint="eastAsia" w:ascii="宋体" w:hAnsi="宋体"/>
          <w:color w:val="auto"/>
          <w:sz w:val="21"/>
        </w:rPr>
        <w:t>设备货物清单</w:t>
      </w:r>
    </w:p>
    <w:p w14:paraId="4548292B">
      <w:pPr>
        <w:pStyle w:val="21"/>
        <w:ind w:firstLine="0" w:firstLineChars="0"/>
        <w:rPr>
          <w:rFonts w:ascii="宋体" w:hAnsi="宋体"/>
          <w:color w:val="auto"/>
          <w:sz w:val="21"/>
        </w:rPr>
      </w:pPr>
      <w:r>
        <w:rPr>
          <w:rFonts w:hint="eastAsia" w:ascii="宋体" w:hAnsi="宋体"/>
          <w:color w:val="auto"/>
          <w:sz w:val="21"/>
        </w:rPr>
        <w:t xml:space="preserve">29.2.2 </w:t>
      </w:r>
      <w:r>
        <w:rPr>
          <w:rFonts w:ascii="宋体" w:hAnsi="宋体"/>
          <w:color w:val="auto"/>
          <w:sz w:val="21"/>
        </w:rPr>
        <w:t>OTN 传输设备技术规范书（2026 年 5 月）</w:t>
      </w:r>
    </w:p>
    <w:p w14:paraId="1F5C6DAC">
      <w:pPr>
        <w:pStyle w:val="21"/>
        <w:ind w:firstLine="0" w:firstLineChars="0"/>
        <w:rPr>
          <w:rFonts w:ascii="宋体" w:hAnsi="宋体"/>
          <w:color w:val="auto"/>
          <w:sz w:val="21"/>
        </w:rPr>
      </w:pPr>
      <w:r>
        <w:rPr>
          <w:rFonts w:hint="eastAsia" w:ascii="宋体" w:hAnsi="宋体"/>
          <w:color w:val="auto"/>
          <w:sz w:val="21"/>
        </w:rPr>
        <w:t>29.2.3 验收合格证明</w:t>
      </w:r>
    </w:p>
    <w:p w14:paraId="4CA34C4B">
      <w:pPr>
        <w:pStyle w:val="21"/>
        <w:ind w:firstLine="0" w:firstLineChars="0"/>
        <w:rPr>
          <w:rFonts w:ascii="宋体" w:hAnsi="宋体"/>
          <w:color w:val="auto"/>
          <w:sz w:val="21"/>
        </w:rPr>
      </w:pPr>
    </w:p>
    <w:p w14:paraId="1DE89142">
      <w:pPr>
        <w:pStyle w:val="21"/>
        <w:ind w:firstLine="0" w:firstLineChars="0"/>
        <w:rPr>
          <w:rFonts w:ascii="宋体" w:hAnsi="宋体"/>
          <w:color w:val="auto"/>
          <w:sz w:val="21"/>
        </w:rPr>
      </w:pPr>
    </w:p>
    <w:p w14:paraId="42C547C1">
      <w:pPr>
        <w:pStyle w:val="21"/>
        <w:ind w:firstLine="0" w:firstLineChars="0"/>
        <w:rPr>
          <w:rFonts w:ascii="宋体" w:hAnsi="宋体"/>
          <w:color w:val="auto"/>
          <w:sz w:val="21"/>
        </w:rPr>
      </w:pPr>
    </w:p>
    <w:p w14:paraId="44F4D8F4">
      <w:pPr>
        <w:pStyle w:val="21"/>
        <w:ind w:firstLine="0" w:firstLineChars="0"/>
        <w:rPr>
          <w:rFonts w:ascii="宋体" w:hAnsi="宋体"/>
          <w:color w:val="auto"/>
          <w:sz w:val="21"/>
        </w:rPr>
      </w:pPr>
    </w:p>
    <w:p w14:paraId="2F840FC2">
      <w:pPr>
        <w:pStyle w:val="21"/>
        <w:ind w:firstLine="0" w:firstLineChars="0"/>
        <w:rPr>
          <w:rFonts w:hint="eastAsia" w:ascii="宋体" w:hAnsi="宋体"/>
          <w:color w:val="auto"/>
          <w:sz w:val="21"/>
        </w:rPr>
      </w:pPr>
    </w:p>
    <w:p w14:paraId="718442A5">
      <w:pPr>
        <w:pStyle w:val="21"/>
        <w:ind w:firstLine="0" w:firstLineChars="0"/>
        <w:rPr>
          <w:rFonts w:hint="eastAsia" w:ascii="宋体" w:hAnsi="宋体"/>
          <w:color w:val="auto"/>
          <w:sz w:val="21"/>
        </w:rPr>
      </w:pPr>
      <w:r>
        <w:rPr>
          <w:rFonts w:hint="eastAsia" w:ascii="宋体" w:hAnsi="宋体"/>
          <w:color w:val="auto"/>
          <w:sz w:val="21"/>
        </w:rPr>
        <w:t>【</w:t>
      </w:r>
      <w:r>
        <w:rPr>
          <w:rFonts w:hint="eastAsia" w:ascii="宋体" w:hAnsi="宋体"/>
          <w:b/>
          <w:color w:val="auto"/>
          <w:sz w:val="21"/>
        </w:rPr>
        <w:t>以下无正文</w:t>
      </w:r>
      <w:r>
        <w:rPr>
          <w:rFonts w:hint="eastAsia" w:ascii="宋体" w:hAnsi="宋体"/>
          <w:color w:val="auto"/>
          <w:sz w:val="21"/>
        </w:rPr>
        <w:t>】</w:t>
      </w:r>
    </w:p>
    <w:p w14:paraId="2472CA5C">
      <w:pPr>
        <w:spacing w:line="360" w:lineRule="auto"/>
        <w:ind w:left="209" w:hanging="209" w:hangingChars="208"/>
        <w:rPr>
          <w:rFonts w:hint="eastAsia" w:ascii="宋体" w:hAnsi="宋体" w:eastAsia="宋体"/>
          <w:b/>
          <w:color w:val="auto"/>
          <w:sz w:val="10"/>
          <w:szCs w:val="10"/>
        </w:rPr>
      </w:pPr>
    </w:p>
    <w:p w14:paraId="080DCC27">
      <w:pPr>
        <w:spacing w:line="360" w:lineRule="auto"/>
        <w:ind w:left="439" w:hanging="439" w:hangingChars="208"/>
        <w:rPr>
          <w:rFonts w:hint="eastAsia" w:ascii="宋体" w:hAnsi="宋体" w:eastAsia="宋体"/>
          <w:b/>
          <w:color w:val="auto"/>
          <w:szCs w:val="21"/>
        </w:rPr>
      </w:pPr>
      <w:r>
        <w:rPr>
          <w:rFonts w:hint="eastAsia" w:ascii="宋体" w:hAnsi="宋体" w:eastAsia="宋体"/>
          <w:b/>
          <w:color w:val="auto"/>
          <w:szCs w:val="21"/>
        </w:rPr>
        <w:t xml:space="preserve">甲方（盖章）： </w:t>
      </w:r>
      <w:sdt>
        <w:sdtPr>
          <w:rPr>
            <w:rFonts w:ascii="宋体" w:hAnsi="宋体" w:eastAsia="宋体"/>
            <w:b/>
            <w:color w:val="auto"/>
            <w:szCs w:val="21"/>
          </w:rPr>
          <w:alias w:val="公司"/>
          <w:id w:val="1302411788"/>
          <w:placeholder>
            <w:docPart w:val="2EEBF10A9B264E0591E39E44D64A7D5D"/>
          </w:placeholder>
          <w:text/>
        </w:sdtPr>
        <w:sdtEndPr>
          <w:rPr>
            <w:rFonts w:ascii="宋体" w:hAnsi="宋体" w:eastAsia="宋体"/>
            <w:b/>
            <w:color w:val="auto"/>
            <w:szCs w:val="21"/>
          </w:rPr>
        </w:sdtEndPr>
        <w:sdtContent>
          <w:r>
            <w:rPr>
              <w:rFonts w:hint="eastAsia" w:ascii="宋体" w:hAnsi="宋体" w:eastAsia="宋体"/>
              <w:b/>
              <w:color w:val="auto"/>
              <w:szCs w:val="21"/>
              <w:lang w:eastAsia="zh-CN"/>
            </w:rPr>
            <w:t>贵州联广科技股份有限公司北京分公司</w:t>
          </w:r>
        </w:sdtContent>
      </w:sdt>
    </w:p>
    <w:p w14:paraId="46220BDC">
      <w:pPr>
        <w:spacing w:line="360" w:lineRule="auto"/>
        <w:ind w:left="209" w:hanging="209" w:hangingChars="208"/>
        <w:rPr>
          <w:rFonts w:hint="eastAsia" w:ascii="宋体" w:hAnsi="宋体" w:eastAsia="宋体"/>
          <w:b/>
          <w:color w:val="auto"/>
          <w:sz w:val="10"/>
          <w:szCs w:val="10"/>
        </w:rPr>
      </w:pPr>
    </w:p>
    <w:p w14:paraId="2359CCAD">
      <w:pPr>
        <w:spacing w:line="360" w:lineRule="auto"/>
        <w:ind w:left="439" w:hanging="439" w:hangingChars="208"/>
        <w:rPr>
          <w:rFonts w:hint="eastAsia" w:ascii="宋体" w:hAnsi="宋体" w:eastAsia="宋体"/>
          <w:b/>
          <w:color w:val="auto"/>
          <w:szCs w:val="21"/>
        </w:rPr>
      </w:pPr>
      <w:r>
        <w:rPr>
          <w:rFonts w:hint="eastAsia" w:ascii="宋体" w:hAnsi="宋体" w:eastAsia="宋体"/>
          <w:b/>
          <w:color w:val="auto"/>
          <w:szCs w:val="21"/>
        </w:rPr>
        <w:t xml:space="preserve">代表签字： </w:t>
      </w:r>
    </w:p>
    <w:p w14:paraId="75D3D14B">
      <w:pPr>
        <w:spacing w:line="360" w:lineRule="auto"/>
        <w:ind w:left="209" w:hanging="209" w:hangingChars="208"/>
        <w:rPr>
          <w:rFonts w:hint="eastAsia" w:ascii="宋体" w:hAnsi="宋体" w:eastAsia="宋体"/>
          <w:b/>
          <w:color w:val="auto"/>
          <w:sz w:val="10"/>
          <w:szCs w:val="10"/>
        </w:rPr>
      </w:pPr>
    </w:p>
    <w:p w14:paraId="1616F844">
      <w:pPr>
        <w:spacing w:line="360" w:lineRule="auto"/>
        <w:rPr>
          <w:rFonts w:hint="eastAsia" w:ascii="宋体" w:hAnsi="宋体" w:eastAsia="宋体"/>
          <w:b/>
          <w:color w:val="auto"/>
          <w:szCs w:val="21"/>
        </w:rPr>
      </w:pPr>
      <w:r>
        <w:rPr>
          <w:rFonts w:hint="eastAsia" w:ascii="宋体" w:hAnsi="宋体" w:eastAsia="宋体"/>
          <w:b/>
          <w:color w:val="auto"/>
          <w:szCs w:val="21"/>
        </w:rPr>
        <w:t>日期：</w:t>
      </w:r>
    </w:p>
    <w:p w14:paraId="40D722AE">
      <w:pPr>
        <w:spacing w:line="360" w:lineRule="auto"/>
        <w:ind w:left="209" w:hanging="209" w:hangingChars="208"/>
        <w:rPr>
          <w:rFonts w:hint="eastAsia" w:ascii="宋体" w:hAnsi="宋体" w:eastAsia="宋体"/>
          <w:b/>
          <w:color w:val="auto"/>
          <w:sz w:val="10"/>
          <w:szCs w:val="10"/>
        </w:rPr>
      </w:pPr>
    </w:p>
    <w:p w14:paraId="6B455257">
      <w:pPr>
        <w:spacing w:line="360" w:lineRule="auto"/>
        <w:ind w:left="439" w:hanging="439" w:hangingChars="208"/>
        <w:rPr>
          <w:rFonts w:hint="eastAsia" w:ascii="宋体" w:hAnsi="宋体" w:eastAsia="宋体"/>
          <w:b/>
          <w:color w:val="auto"/>
          <w:szCs w:val="21"/>
        </w:rPr>
      </w:pPr>
      <w:r>
        <w:rPr>
          <w:rFonts w:hint="eastAsia" w:ascii="宋体" w:hAnsi="宋体" w:eastAsia="宋体"/>
          <w:b/>
          <w:color w:val="auto"/>
          <w:szCs w:val="21"/>
        </w:rPr>
        <w:t xml:space="preserve">乙方（盖章）： </w:t>
      </w:r>
    </w:p>
    <w:p w14:paraId="1FC13BF4">
      <w:pPr>
        <w:spacing w:line="360" w:lineRule="auto"/>
        <w:ind w:left="209" w:hanging="209" w:hangingChars="208"/>
        <w:rPr>
          <w:rFonts w:hint="eastAsia" w:ascii="宋体" w:hAnsi="宋体" w:eastAsia="宋体"/>
          <w:b/>
          <w:color w:val="auto"/>
          <w:sz w:val="10"/>
          <w:szCs w:val="10"/>
        </w:rPr>
      </w:pPr>
    </w:p>
    <w:p w14:paraId="6522438C">
      <w:pPr>
        <w:spacing w:line="360" w:lineRule="auto"/>
        <w:rPr>
          <w:rFonts w:hint="eastAsia" w:ascii="宋体" w:hAnsi="宋体" w:eastAsia="宋体"/>
          <w:b/>
          <w:color w:val="auto"/>
          <w:szCs w:val="21"/>
        </w:rPr>
      </w:pPr>
      <w:r>
        <w:rPr>
          <w:rFonts w:hint="eastAsia" w:ascii="宋体" w:hAnsi="宋体" w:eastAsia="宋体"/>
          <w:b/>
          <w:color w:val="auto"/>
          <w:szCs w:val="21"/>
        </w:rPr>
        <w:t xml:space="preserve">代表签字： </w:t>
      </w:r>
    </w:p>
    <w:p w14:paraId="2F4C102D">
      <w:pPr>
        <w:spacing w:line="360" w:lineRule="auto"/>
        <w:ind w:left="437" w:hanging="437" w:hangingChars="208"/>
        <w:rPr>
          <w:rFonts w:hint="eastAsia" w:ascii="宋体" w:hAnsi="宋体"/>
          <w:b/>
          <w:color w:val="auto"/>
          <w:szCs w:val="21"/>
        </w:rPr>
      </w:pPr>
    </w:p>
    <w:p w14:paraId="2ED48A37">
      <w:pPr>
        <w:spacing w:line="360" w:lineRule="auto"/>
        <w:rPr>
          <w:color w:val="auto"/>
        </w:rPr>
      </w:pPr>
      <w:r>
        <w:rPr>
          <w:rFonts w:hint="eastAsia" w:ascii="宋体" w:hAnsi="宋体" w:eastAsia="宋体"/>
          <w:b/>
          <w:color w:val="auto"/>
          <w:szCs w:val="21"/>
        </w:rPr>
        <w:t>日期：</w:t>
      </w:r>
      <w:r>
        <w:rPr>
          <w:rFonts w:hint="eastAsia"/>
          <w:color w:val="auto"/>
        </w:rPr>
        <w:t xml:space="preserve"> </w:t>
      </w:r>
    </w:p>
    <w:p w14:paraId="1195DCA5">
      <w:pPr>
        <w:spacing w:line="360" w:lineRule="auto"/>
        <w:rPr>
          <w:color w:val="auto"/>
        </w:rPr>
      </w:pPr>
    </w:p>
    <w:p w14:paraId="64EB1A6E">
      <w:pPr>
        <w:spacing w:line="360" w:lineRule="auto"/>
        <w:rPr>
          <w:color w:val="auto"/>
        </w:rPr>
      </w:pPr>
    </w:p>
    <w:p w14:paraId="6E37275F">
      <w:pPr>
        <w:spacing w:line="360" w:lineRule="auto"/>
        <w:rPr>
          <w:color w:val="auto"/>
        </w:rPr>
      </w:pPr>
    </w:p>
    <w:p w14:paraId="76D342C1">
      <w:pPr>
        <w:spacing w:line="360" w:lineRule="auto"/>
        <w:rPr>
          <w:color w:val="auto"/>
        </w:rPr>
      </w:pPr>
    </w:p>
    <w:p w14:paraId="0A6EBB22">
      <w:pPr>
        <w:spacing w:line="360" w:lineRule="auto"/>
        <w:rPr>
          <w:rFonts w:hint="eastAsia"/>
          <w:color w:val="auto"/>
        </w:rPr>
        <w:sectPr>
          <w:headerReference r:id="rId3" w:type="default"/>
          <w:footerReference r:id="rId4" w:type="default"/>
          <w:pgSz w:w="11906" w:h="16838"/>
          <w:pgMar w:top="1418" w:right="1701" w:bottom="1418" w:left="1701" w:header="851" w:footer="992" w:gutter="0"/>
          <w:cols w:space="425" w:num="1"/>
          <w:docGrid w:type="lines" w:linePitch="312" w:charSpace="0"/>
        </w:sectPr>
      </w:pPr>
    </w:p>
    <w:p w14:paraId="4270F718">
      <w:pPr>
        <w:spacing w:line="360" w:lineRule="auto"/>
        <w:rPr>
          <w:rFonts w:hint="eastAsia"/>
          <w:color w:val="auto"/>
        </w:rPr>
      </w:pPr>
      <w:r>
        <w:rPr>
          <w:rFonts w:hint="eastAsia"/>
          <w:b/>
          <w:color w:val="auto"/>
          <w:sz w:val="28"/>
          <w:szCs w:val="28"/>
        </w:rPr>
        <w:t>附件一  设备货物清单</w:t>
      </w:r>
    </w:p>
    <w:tbl>
      <w:tblPr>
        <w:tblStyle w:val="12"/>
        <w:tblW w:w="9896" w:type="dxa"/>
        <w:jc w:val="center"/>
        <w:tblLayout w:type="fixed"/>
        <w:tblCellMar>
          <w:top w:w="0" w:type="dxa"/>
          <w:left w:w="10" w:type="dxa"/>
          <w:bottom w:w="0" w:type="dxa"/>
          <w:right w:w="10" w:type="dxa"/>
        </w:tblCellMar>
      </w:tblPr>
      <w:tblGrid>
        <w:gridCol w:w="618"/>
        <w:gridCol w:w="1337"/>
        <w:gridCol w:w="3260"/>
        <w:gridCol w:w="645"/>
        <w:gridCol w:w="660"/>
        <w:gridCol w:w="1413"/>
        <w:gridCol w:w="1467"/>
        <w:gridCol w:w="496"/>
      </w:tblGrid>
      <w:tr w14:paraId="3CE7F694">
        <w:tblPrEx>
          <w:tblCellMar>
            <w:top w:w="0" w:type="dxa"/>
            <w:left w:w="10" w:type="dxa"/>
            <w:bottom w:w="0" w:type="dxa"/>
            <w:right w:w="10" w:type="dxa"/>
          </w:tblCellMar>
        </w:tblPrEx>
        <w:trPr>
          <w:trHeight w:val="20" w:hRule="atLeast"/>
          <w:jc w:val="center"/>
        </w:trPr>
        <w:tc>
          <w:tcPr>
            <w:tcW w:w="618" w:type="dxa"/>
            <w:tcBorders>
              <w:top w:val="single" w:color="000000" w:sz="4" w:space="0"/>
              <w:left w:val="single" w:color="000000" w:sz="4" w:space="0"/>
              <w:bottom w:val="single" w:color="000000" w:sz="4" w:space="0"/>
              <w:right w:val="single" w:color="000000" w:sz="4" w:space="0"/>
            </w:tcBorders>
            <w:shd w:val="clear" w:color="auto" w:fill="D0CECE"/>
            <w:noWrap/>
            <w:vAlign w:val="center"/>
          </w:tcPr>
          <w:p w14:paraId="62A6F80A">
            <w:pPr>
              <w:widowControl/>
              <w:snapToGrid w:val="0"/>
              <w:jc w:val="center"/>
              <w:textAlignment w:val="center"/>
              <w:rPr>
                <w:rFonts w:ascii="Cambria Math" w:hAnsi="Cambria Math" w:cs="Cambria Math"/>
                <w:b/>
                <w:bCs/>
                <w:color w:val="auto"/>
                <w:kern w:val="0"/>
                <w:szCs w:val="21"/>
                <w:lang w:bidi="ar"/>
              </w:rPr>
            </w:pPr>
            <w:r>
              <w:rPr>
                <w:rFonts w:hint="eastAsia" w:ascii="Cambria Math" w:hAnsi="Cambria Math" w:cs="Cambria Math"/>
                <w:b/>
                <w:bCs/>
                <w:color w:val="auto"/>
                <w:kern w:val="0"/>
                <w:szCs w:val="21"/>
                <w:lang w:bidi="ar"/>
              </w:rPr>
              <w:t>序号</w:t>
            </w:r>
          </w:p>
        </w:tc>
        <w:tc>
          <w:tcPr>
            <w:tcW w:w="1337" w:type="dxa"/>
            <w:tcBorders>
              <w:top w:val="single" w:color="000000" w:sz="4" w:space="0"/>
              <w:left w:val="single" w:color="000000" w:sz="4" w:space="0"/>
              <w:bottom w:val="single" w:color="000000" w:sz="4" w:space="0"/>
              <w:right w:val="single" w:color="000000" w:sz="4" w:space="0"/>
            </w:tcBorders>
            <w:shd w:val="clear" w:color="auto" w:fill="D0CECE"/>
            <w:noWrap/>
            <w:vAlign w:val="center"/>
          </w:tcPr>
          <w:p w14:paraId="50C6F929">
            <w:pPr>
              <w:widowControl/>
              <w:snapToGrid w:val="0"/>
              <w:jc w:val="center"/>
              <w:textAlignment w:val="center"/>
              <w:rPr>
                <w:rFonts w:ascii="Cambria Math" w:hAnsi="Cambria Math" w:cs="Cambria Math"/>
                <w:b/>
                <w:bCs/>
                <w:color w:val="auto"/>
                <w:kern w:val="0"/>
                <w:szCs w:val="21"/>
                <w:lang w:bidi="ar"/>
              </w:rPr>
            </w:pPr>
            <w:r>
              <w:rPr>
                <w:rFonts w:hint="eastAsia" w:ascii="Cambria Math" w:hAnsi="Cambria Math" w:cs="Cambria Math"/>
                <w:b/>
                <w:bCs/>
                <w:color w:val="auto"/>
                <w:kern w:val="0"/>
                <w:szCs w:val="21"/>
                <w:lang w:bidi="ar"/>
              </w:rPr>
              <w:t>需求</w:t>
            </w:r>
          </w:p>
        </w:tc>
        <w:tc>
          <w:tcPr>
            <w:tcW w:w="3260" w:type="dxa"/>
            <w:tcBorders>
              <w:top w:val="single" w:color="000000" w:sz="4" w:space="0"/>
              <w:left w:val="single" w:color="000000" w:sz="4" w:space="0"/>
              <w:bottom w:val="single" w:color="000000" w:sz="4" w:space="0"/>
              <w:right w:val="single" w:color="000000" w:sz="4" w:space="0"/>
            </w:tcBorders>
            <w:shd w:val="clear" w:color="auto" w:fill="D0CECE"/>
            <w:noWrap/>
            <w:vAlign w:val="center"/>
          </w:tcPr>
          <w:p w14:paraId="11D7A248">
            <w:pPr>
              <w:widowControl/>
              <w:snapToGrid w:val="0"/>
              <w:jc w:val="center"/>
              <w:textAlignment w:val="center"/>
              <w:rPr>
                <w:rFonts w:ascii="Cambria Math" w:hAnsi="Cambria Math" w:cs="Cambria Math"/>
                <w:b/>
                <w:bCs/>
                <w:color w:val="auto"/>
                <w:kern w:val="0"/>
                <w:szCs w:val="21"/>
                <w:lang w:bidi="ar"/>
              </w:rPr>
            </w:pPr>
            <w:r>
              <w:rPr>
                <w:rFonts w:hint="eastAsia" w:ascii="Cambria Math" w:hAnsi="Cambria Math" w:cs="Cambria Math"/>
                <w:b/>
                <w:bCs/>
                <w:color w:val="auto"/>
                <w:kern w:val="0"/>
                <w:szCs w:val="21"/>
                <w:lang w:bidi="ar"/>
              </w:rPr>
              <w:t>描述</w:t>
            </w:r>
          </w:p>
        </w:tc>
        <w:tc>
          <w:tcPr>
            <w:tcW w:w="645" w:type="dxa"/>
            <w:tcBorders>
              <w:top w:val="single" w:color="000000" w:sz="4" w:space="0"/>
              <w:left w:val="single" w:color="000000" w:sz="4" w:space="0"/>
              <w:bottom w:val="single" w:color="000000" w:sz="4" w:space="0"/>
              <w:right w:val="single" w:color="000000" w:sz="4" w:space="0"/>
            </w:tcBorders>
            <w:shd w:val="clear" w:color="auto" w:fill="D0CECE"/>
            <w:noWrap/>
            <w:vAlign w:val="center"/>
          </w:tcPr>
          <w:p w14:paraId="7AE9270B">
            <w:pPr>
              <w:widowControl/>
              <w:snapToGrid w:val="0"/>
              <w:jc w:val="center"/>
              <w:textAlignment w:val="center"/>
              <w:rPr>
                <w:rFonts w:ascii="Cambria Math" w:hAnsi="Cambria Math" w:cs="Cambria Math"/>
                <w:b/>
                <w:bCs/>
                <w:color w:val="auto"/>
                <w:kern w:val="0"/>
                <w:szCs w:val="21"/>
                <w:lang w:bidi="ar"/>
              </w:rPr>
            </w:pPr>
            <w:r>
              <w:rPr>
                <w:rFonts w:hint="eastAsia" w:ascii="Cambria Math" w:hAnsi="Cambria Math" w:cs="Cambria Math"/>
                <w:b/>
                <w:bCs/>
                <w:color w:val="auto"/>
                <w:kern w:val="0"/>
                <w:szCs w:val="21"/>
                <w:lang w:bidi="ar"/>
              </w:rPr>
              <w:t>数量</w:t>
            </w:r>
          </w:p>
        </w:tc>
        <w:tc>
          <w:tcPr>
            <w:tcW w:w="660" w:type="dxa"/>
            <w:tcBorders>
              <w:top w:val="single" w:color="000000" w:sz="4" w:space="0"/>
              <w:left w:val="single" w:color="000000" w:sz="4" w:space="0"/>
              <w:bottom w:val="single" w:color="000000" w:sz="4" w:space="0"/>
              <w:right w:val="single" w:color="000000" w:sz="4" w:space="0"/>
            </w:tcBorders>
            <w:shd w:val="clear" w:color="auto" w:fill="D0CECE"/>
            <w:vAlign w:val="center"/>
          </w:tcPr>
          <w:p w14:paraId="73C966B6">
            <w:pPr>
              <w:widowControl/>
              <w:snapToGrid w:val="0"/>
              <w:jc w:val="center"/>
              <w:textAlignment w:val="center"/>
              <w:rPr>
                <w:rFonts w:ascii="Cambria Math" w:hAnsi="Cambria Math" w:cs="Cambria Math"/>
                <w:b/>
                <w:bCs/>
                <w:color w:val="auto"/>
                <w:kern w:val="0"/>
                <w:szCs w:val="21"/>
                <w:lang w:bidi="ar"/>
              </w:rPr>
            </w:pPr>
            <w:r>
              <w:rPr>
                <w:rFonts w:hint="eastAsia" w:ascii="Cambria Math" w:hAnsi="Cambria Math" w:cs="Cambria Math"/>
                <w:b/>
                <w:bCs/>
                <w:color w:val="auto"/>
                <w:kern w:val="0"/>
                <w:szCs w:val="21"/>
                <w:lang w:bidi="ar"/>
              </w:rPr>
              <w:t>单位</w:t>
            </w:r>
          </w:p>
        </w:tc>
        <w:tc>
          <w:tcPr>
            <w:tcW w:w="1413" w:type="dxa"/>
            <w:tcBorders>
              <w:top w:val="single" w:color="000000" w:sz="4" w:space="0"/>
              <w:left w:val="single" w:color="000000" w:sz="4" w:space="0"/>
              <w:bottom w:val="single" w:color="000000" w:sz="4" w:space="0"/>
              <w:right w:val="single" w:color="000000" w:sz="4" w:space="0"/>
            </w:tcBorders>
            <w:shd w:val="clear" w:color="auto" w:fill="D0CECE"/>
            <w:vAlign w:val="center"/>
          </w:tcPr>
          <w:p w14:paraId="217CAA02">
            <w:pPr>
              <w:widowControl/>
              <w:snapToGrid w:val="0"/>
              <w:jc w:val="center"/>
              <w:textAlignment w:val="center"/>
              <w:rPr>
                <w:rFonts w:ascii="Cambria Math" w:hAnsi="Cambria Math" w:cs="Cambria Math"/>
                <w:b/>
                <w:bCs/>
                <w:color w:val="auto"/>
                <w:kern w:val="0"/>
                <w:szCs w:val="21"/>
                <w:lang w:bidi="ar"/>
              </w:rPr>
            </w:pPr>
            <w:r>
              <w:rPr>
                <w:rFonts w:hint="eastAsia" w:ascii="Cambria Math" w:hAnsi="Cambria Math" w:cs="Cambria Math"/>
                <w:b/>
                <w:bCs/>
                <w:color w:val="auto"/>
                <w:kern w:val="0"/>
                <w:szCs w:val="21"/>
                <w:lang w:bidi="ar"/>
              </w:rPr>
              <w:t>含税单价报价（元）</w:t>
            </w:r>
          </w:p>
        </w:tc>
        <w:tc>
          <w:tcPr>
            <w:tcW w:w="1467" w:type="dxa"/>
            <w:tcBorders>
              <w:top w:val="single" w:color="000000" w:sz="4" w:space="0"/>
              <w:left w:val="single" w:color="000000" w:sz="4" w:space="0"/>
              <w:bottom w:val="single" w:color="000000" w:sz="4" w:space="0"/>
              <w:right w:val="single" w:color="000000" w:sz="4" w:space="0"/>
            </w:tcBorders>
            <w:shd w:val="clear" w:color="auto" w:fill="D0CECE"/>
            <w:vAlign w:val="center"/>
          </w:tcPr>
          <w:p w14:paraId="47F067C8">
            <w:pPr>
              <w:widowControl/>
              <w:snapToGrid w:val="0"/>
              <w:jc w:val="center"/>
              <w:textAlignment w:val="center"/>
              <w:rPr>
                <w:rFonts w:ascii="Cambria Math" w:hAnsi="Cambria Math" w:cs="Cambria Math"/>
                <w:b/>
                <w:bCs/>
                <w:color w:val="auto"/>
                <w:kern w:val="0"/>
                <w:szCs w:val="21"/>
                <w:lang w:bidi="ar"/>
              </w:rPr>
            </w:pPr>
            <w:r>
              <w:rPr>
                <w:rFonts w:hint="eastAsia" w:ascii="Cambria Math" w:hAnsi="Cambria Math" w:cs="Cambria Math"/>
                <w:b/>
                <w:bCs/>
                <w:color w:val="auto"/>
                <w:kern w:val="0"/>
                <w:szCs w:val="21"/>
                <w:lang w:bidi="ar"/>
              </w:rPr>
              <w:t>含税总价报价（元）</w:t>
            </w:r>
          </w:p>
        </w:tc>
        <w:tc>
          <w:tcPr>
            <w:tcW w:w="496" w:type="dxa"/>
            <w:tcBorders>
              <w:top w:val="single" w:color="000000" w:sz="4" w:space="0"/>
              <w:left w:val="single" w:color="000000" w:sz="4" w:space="0"/>
              <w:bottom w:val="single" w:color="000000" w:sz="4" w:space="0"/>
              <w:right w:val="single" w:color="000000" w:sz="4" w:space="0"/>
            </w:tcBorders>
            <w:shd w:val="clear" w:color="auto" w:fill="D0CECE"/>
            <w:noWrap/>
            <w:vAlign w:val="center"/>
          </w:tcPr>
          <w:p w14:paraId="6D917197">
            <w:pPr>
              <w:widowControl/>
              <w:snapToGrid w:val="0"/>
              <w:jc w:val="center"/>
              <w:textAlignment w:val="center"/>
              <w:rPr>
                <w:rFonts w:ascii="Cambria Math" w:hAnsi="Cambria Math" w:cs="Cambria Math"/>
                <w:b/>
                <w:bCs/>
                <w:color w:val="auto"/>
                <w:kern w:val="0"/>
                <w:szCs w:val="21"/>
                <w:lang w:bidi="ar"/>
              </w:rPr>
            </w:pPr>
            <w:r>
              <w:rPr>
                <w:rFonts w:hint="eastAsia" w:ascii="Cambria Math" w:hAnsi="Cambria Math" w:cs="Cambria Math"/>
                <w:b/>
                <w:bCs/>
                <w:color w:val="auto"/>
                <w:kern w:val="0"/>
                <w:szCs w:val="21"/>
                <w:lang w:bidi="ar"/>
              </w:rPr>
              <w:t>备注</w:t>
            </w:r>
          </w:p>
        </w:tc>
      </w:tr>
      <w:tr w14:paraId="002CE0E2">
        <w:tblPrEx>
          <w:tblCellMar>
            <w:top w:w="0" w:type="dxa"/>
            <w:left w:w="10" w:type="dxa"/>
            <w:bottom w:w="0" w:type="dxa"/>
            <w:right w:w="10" w:type="dxa"/>
          </w:tblCellMar>
        </w:tblPrEx>
        <w:trPr>
          <w:trHeight w:val="20" w:hRule="atLeast"/>
          <w:jc w:val="center"/>
        </w:trPr>
        <w:tc>
          <w:tcPr>
            <w:tcW w:w="618" w:type="dxa"/>
            <w:tcBorders>
              <w:top w:val="single" w:color="000000" w:sz="4" w:space="0"/>
              <w:left w:val="single" w:color="000000" w:sz="4" w:space="0"/>
              <w:bottom w:val="single" w:color="000000" w:sz="4" w:space="0"/>
              <w:right w:val="single" w:color="000000" w:sz="4" w:space="0"/>
            </w:tcBorders>
            <w:noWrap/>
            <w:vAlign w:val="center"/>
          </w:tcPr>
          <w:p w14:paraId="653EEDFF">
            <w:pPr>
              <w:widowControl/>
              <w:snapToGrid w:val="0"/>
              <w:jc w:val="center"/>
              <w:textAlignment w:val="center"/>
              <w:rPr>
                <w:rFonts w:ascii="Cambria Math" w:hAnsi="Cambria Math" w:cs="Cambria Math"/>
                <w:color w:val="auto"/>
                <w:szCs w:val="21"/>
              </w:rPr>
            </w:pPr>
          </w:p>
        </w:tc>
        <w:tc>
          <w:tcPr>
            <w:tcW w:w="1337" w:type="dxa"/>
            <w:tcBorders>
              <w:top w:val="single" w:color="000000" w:sz="4" w:space="0"/>
              <w:left w:val="single" w:color="000000" w:sz="4" w:space="0"/>
              <w:bottom w:val="single" w:color="000000" w:sz="4" w:space="0"/>
              <w:right w:val="single" w:color="000000" w:sz="4" w:space="0"/>
            </w:tcBorders>
            <w:vAlign w:val="center"/>
          </w:tcPr>
          <w:p w14:paraId="7D0BE3C5">
            <w:pPr>
              <w:widowControl/>
              <w:snapToGrid w:val="0"/>
              <w:jc w:val="center"/>
              <w:textAlignment w:val="center"/>
              <w:rPr>
                <w:rFonts w:ascii="Cambria Math" w:hAnsi="Cambria Math" w:cs="Cambria Math"/>
                <w:color w:val="auto"/>
                <w:szCs w:val="21"/>
              </w:rPr>
            </w:pPr>
          </w:p>
        </w:tc>
        <w:tc>
          <w:tcPr>
            <w:tcW w:w="3260" w:type="dxa"/>
            <w:tcBorders>
              <w:top w:val="single" w:color="000000" w:sz="4" w:space="0"/>
              <w:left w:val="single" w:color="000000" w:sz="4" w:space="0"/>
              <w:bottom w:val="single" w:color="000000" w:sz="4" w:space="0"/>
              <w:right w:val="single" w:color="000000" w:sz="4" w:space="0"/>
            </w:tcBorders>
            <w:noWrap/>
            <w:vAlign w:val="center"/>
          </w:tcPr>
          <w:p w14:paraId="1863AE6E">
            <w:pPr>
              <w:widowControl/>
              <w:snapToGrid w:val="0"/>
              <w:jc w:val="center"/>
              <w:textAlignment w:val="center"/>
              <w:rPr>
                <w:rFonts w:ascii="Cambria Math" w:hAnsi="Cambria Math" w:cs="Cambria Math"/>
                <w:color w:val="auto"/>
                <w:szCs w:val="21"/>
              </w:rPr>
            </w:pPr>
          </w:p>
        </w:tc>
        <w:tc>
          <w:tcPr>
            <w:tcW w:w="645" w:type="dxa"/>
            <w:tcBorders>
              <w:top w:val="single" w:color="000000" w:sz="4" w:space="0"/>
              <w:left w:val="single" w:color="000000" w:sz="4" w:space="0"/>
              <w:bottom w:val="single" w:color="000000" w:sz="4" w:space="0"/>
              <w:right w:val="single" w:color="000000" w:sz="4" w:space="0"/>
            </w:tcBorders>
            <w:noWrap/>
            <w:vAlign w:val="center"/>
          </w:tcPr>
          <w:p w14:paraId="51E8B181">
            <w:pPr>
              <w:widowControl/>
              <w:snapToGrid w:val="0"/>
              <w:jc w:val="center"/>
              <w:textAlignment w:val="center"/>
              <w:rPr>
                <w:rFonts w:ascii="Cambria Math" w:hAnsi="Cambria Math" w:cs="Cambria Math"/>
                <w:color w:val="auto"/>
                <w:szCs w:val="21"/>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2FE06AF8">
            <w:pPr>
              <w:widowControl/>
              <w:snapToGrid w:val="0"/>
              <w:jc w:val="center"/>
              <w:textAlignment w:val="center"/>
              <w:rPr>
                <w:rFonts w:ascii="Cambria Math" w:hAnsi="Cambria Math" w:cs="Cambria Math"/>
                <w:color w:val="auto"/>
                <w:kern w:val="0"/>
                <w:szCs w:val="21"/>
                <w:lang w:bidi="ar"/>
              </w:rPr>
            </w:pPr>
          </w:p>
        </w:tc>
        <w:tc>
          <w:tcPr>
            <w:tcW w:w="1413" w:type="dxa"/>
            <w:tcBorders>
              <w:top w:val="single" w:color="000000" w:sz="4" w:space="0"/>
              <w:left w:val="single" w:color="000000" w:sz="4" w:space="0"/>
              <w:bottom w:val="single" w:color="000000" w:sz="4" w:space="0"/>
              <w:right w:val="single" w:color="000000" w:sz="4" w:space="0"/>
            </w:tcBorders>
            <w:vAlign w:val="center"/>
          </w:tcPr>
          <w:p w14:paraId="3F53F161">
            <w:pPr>
              <w:widowControl/>
              <w:snapToGrid w:val="0"/>
              <w:jc w:val="right"/>
              <w:textAlignment w:val="center"/>
              <w:rPr>
                <w:rFonts w:ascii="Cambria Math" w:hAnsi="Cambria Math" w:cs="Cambria Math"/>
                <w:color w:val="auto"/>
                <w:szCs w:val="21"/>
              </w:rPr>
            </w:pPr>
          </w:p>
        </w:tc>
        <w:tc>
          <w:tcPr>
            <w:tcW w:w="1467" w:type="dxa"/>
            <w:tcBorders>
              <w:top w:val="single" w:color="000000" w:sz="4" w:space="0"/>
              <w:left w:val="single" w:color="000000" w:sz="4" w:space="0"/>
              <w:bottom w:val="single" w:color="000000" w:sz="4" w:space="0"/>
              <w:right w:val="single" w:color="000000" w:sz="4" w:space="0"/>
            </w:tcBorders>
            <w:vAlign w:val="center"/>
          </w:tcPr>
          <w:p w14:paraId="7EB88381">
            <w:pPr>
              <w:widowControl/>
              <w:snapToGrid w:val="0"/>
              <w:jc w:val="right"/>
              <w:textAlignment w:val="center"/>
              <w:rPr>
                <w:rFonts w:ascii="Cambria Math" w:hAnsi="Cambria Math" w:cs="Cambria Math"/>
                <w:color w:val="auto"/>
                <w:szCs w:val="21"/>
              </w:rPr>
            </w:pPr>
          </w:p>
        </w:tc>
        <w:tc>
          <w:tcPr>
            <w:tcW w:w="496" w:type="dxa"/>
            <w:tcBorders>
              <w:top w:val="single" w:color="000000" w:sz="4" w:space="0"/>
              <w:left w:val="single" w:color="000000" w:sz="4" w:space="0"/>
              <w:bottom w:val="single" w:color="000000" w:sz="4" w:space="0"/>
              <w:right w:val="single" w:color="000000" w:sz="4" w:space="0"/>
            </w:tcBorders>
            <w:noWrap/>
            <w:vAlign w:val="center"/>
          </w:tcPr>
          <w:p w14:paraId="3BE2A376">
            <w:pPr>
              <w:widowControl/>
              <w:snapToGrid w:val="0"/>
              <w:jc w:val="center"/>
              <w:textAlignment w:val="center"/>
              <w:rPr>
                <w:rFonts w:ascii="Cambria Math" w:hAnsi="Cambria Math" w:cs="Cambria Math"/>
                <w:color w:val="auto"/>
                <w:szCs w:val="21"/>
              </w:rPr>
            </w:pPr>
          </w:p>
        </w:tc>
      </w:tr>
      <w:tr w14:paraId="7AB5F398">
        <w:tblPrEx>
          <w:tblCellMar>
            <w:top w:w="0" w:type="dxa"/>
            <w:left w:w="10" w:type="dxa"/>
            <w:bottom w:w="0" w:type="dxa"/>
            <w:right w:w="10" w:type="dxa"/>
          </w:tblCellMar>
        </w:tblPrEx>
        <w:trPr>
          <w:trHeight w:val="20" w:hRule="atLeast"/>
          <w:jc w:val="center"/>
        </w:trPr>
        <w:tc>
          <w:tcPr>
            <w:tcW w:w="618" w:type="dxa"/>
            <w:tcBorders>
              <w:top w:val="single" w:color="000000" w:sz="4" w:space="0"/>
              <w:left w:val="single" w:color="000000" w:sz="4" w:space="0"/>
              <w:bottom w:val="single" w:color="000000" w:sz="4" w:space="0"/>
              <w:right w:val="single" w:color="000000" w:sz="4" w:space="0"/>
            </w:tcBorders>
            <w:noWrap/>
            <w:vAlign w:val="center"/>
          </w:tcPr>
          <w:p w14:paraId="6D044026">
            <w:pPr>
              <w:widowControl/>
              <w:snapToGrid w:val="0"/>
              <w:jc w:val="center"/>
              <w:textAlignment w:val="center"/>
              <w:rPr>
                <w:rFonts w:ascii="Cambria Math" w:hAnsi="Cambria Math" w:cs="Cambria Math"/>
                <w:color w:val="auto"/>
                <w:szCs w:val="21"/>
              </w:rPr>
            </w:pPr>
          </w:p>
        </w:tc>
        <w:tc>
          <w:tcPr>
            <w:tcW w:w="1337" w:type="dxa"/>
            <w:tcBorders>
              <w:top w:val="single" w:color="000000" w:sz="4" w:space="0"/>
              <w:left w:val="single" w:color="000000" w:sz="4" w:space="0"/>
              <w:bottom w:val="single" w:color="000000" w:sz="4" w:space="0"/>
              <w:right w:val="single" w:color="000000" w:sz="4" w:space="0"/>
            </w:tcBorders>
            <w:noWrap/>
            <w:vAlign w:val="center"/>
          </w:tcPr>
          <w:p w14:paraId="118CC139">
            <w:pPr>
              <w:widowControl/>
              <w:snapToGrid w:val="0"/>
              <w:jc w:val="center"/>
              <w:textAlignment w:val="center"/>
              <w:rPr>
                <w:rFonts w:ascii="Cambria Math" w:hAnsi="Cambria Math" w:cs="Cambria Math"/>
                <w:color w:val="auto"/>
                <w:szCs w:val="21"/>
              </w:rPr>
            </w:pPr>
          </w:p>
        </w:tc>
        <w:tc>
          <w:tcPr>
            <w:tcW w:w="3260" w:type="dxa"/>
            <w:tcBorders>
              <w:top w:val="single" w:color="000000" w:sz="4" w:space="0"/>
              <w:left w:val="single" w:color="000000" w:sz="4" w:space="0"/>
              <w:bottom w:val="single" w:color="000000" w:sz="4" w:space="0"/>
              <w:right w:val="single" w:color="000000" w:sz="4" w:space="0"/>
            </w:tcBorders>
            <w:noWrap/>
            <w:vAlign w:val="center"/>
          </w:tcPr>
          <w:p w14:paraId="6A3506AB">
            <w:pPr>
              <w:widowControl/>
              <w:snapToGrid w:val="0"/>
              <w:jc w:val="center"/>
              <w:textAlignment w:val="center"/>
              <w:rPr>
                <w:rFonts w:ascii="Cambria Math" w:hAnsi="Cambria Math" w:cs="Cambria Math"/>
                <w:color w:val="auto"/>
                <w:szCs w:val="21"/>
              </w:rPr>
            </w:pPr>
          </w:p>
        </w:tc>
        <w:tc>
          <w:tcPr>
            <w:tcW w:w="645" w:type="dxa"/>
            <w:tcBorders>
              <w:top w:val="single" w:color="000000" w:sz="4" w:space="0"/>
              <w:left w:val="single" w:color="000000" w:sz="4" w:space="0"/>
              <w:bottom w:val="single" w:color="000000" w:sz="4" w:space="0"/>
              <w:right w:val="single" w:color="000000" w:sz="4" w:space="0"/>
            </w:tcBorders>
            <w:noWrap/>
            <w:vAlign w:val="center"/>
          </w:tcPr>
          <w:p w14:paraId="01D9388C">
            <w:pPr>
              <w:widowControl/>
              <w:snapToGrid w:val="0"/>
              <w:jc w:val="center"/>
              <w:textAlignment w:val="center"/>
              <w:rPr>
                <w:rFonts w:ascii="Cambria Math" w:hAnsi="Cambria Math" w:cs="Cambria Math"/>
                <w:color w:val="auto"/>
                <w:szCs w:val="21"/>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148FC0D1">
            <w:pPr>
              <w:snapToGrid w:val="0"/>
              <w:jc w:val="center"/>
              <w:rPr>
                <w:rFonts w:ascii="Cambria Math" w:hAnsi="Cambria Math" w:cs="Cambria Math"/>
                <w:color w:val="auto"/>
                <w:szCs w:val="21"/>
              </w:rPr>
            </w:pPr>
          </w:p>
        </w:tc>
        <w:tc>
          <w:tcPr>
            <w:tcW w:w="1413" w:type="dxa"/>
            <w:tcBorders>
              <w:top w:val="single" w:color="000000" w:sz="4" w:space="0"/>
              <w:left w:val="single" w:color="000000" w:sz="4" w:space="0"/>
              <w:bottom w:val="single" w:color="000000" w:sz="4" w:space="0"/>
              <w:right w:val="single" w:color="000000" w:sz="4" w:space="0"/>
            </w:tcBorders>
            <w:vAlign w:val="center"/>
          </w:tcPr>
          <w:p w14:paraId="311AC19F">
            <w:pPr>
              <w:widowControl/>
              <w:snapToGrid w:val="0"/>
              <w:jc w:val="right"/>
              <w:textAlignment w:val="center"/>
              <w:rPr>
                <w:rFonts w:ascii="Cambria Math" w:hAnsi="Cambria Math" w:cs="Cambria Math"/>
                <w:color w:val="auto"/>
                <w:szCs w:val="21"/>
              </w:rPr>
            </w:pPr>
          </w:p>
        </w:tc>
        <w:tc>
          <w:tcPr>
            <w:tcW w:w="1467" w:type="dxa"/>
            <w:tcBorders>
              <w:top w:val="single" w:color="000000" w:sz="4" w:space="0"/>
              <w:left w:val="single" w:color="000000" w:sz="4" w:space="0"/>
              <w:bottom w:val="single" w:color="000000" w:sz="4" w:space="0"/>
              <w:right w:val="single" w:color="000000" w:sz="4" w:space="0"/>
            </w:tcBorders>
            <w:vAlign w:val="center"/>
          </w:tcPr>
          <w:p w14:paraId="5D15571D">
            <w:pPr>
              <w:widowControl/>
              <w:snapToGrid w:val="0"/>
              <w:jc w:val="right"/>
              <w:textAlignment w:val="center"/>
              <w:rPr>
                <w:rFonts w:ascii="Cambria Math" w:hAnsi="Cambria Math" w:cs="Cambria Math"/>
                <w:color w:val="auto"/>
                <w:szCs w:val="21"/>
              </w:rPr>
            </w:pPr>
          </w:p>
        </w:tc>
        <w:tc>
          <w:tcPr>
            <w:tcW w:w="496" w:type="dxa"/>
            <w:tcBorders>
              <w:top w:val="single" w:color="000000" w:sz="4" w:space="0"/>
              <w:left w:val="single" w:color="000000" w:sz="4" w:space="0"/>
              <w:bottom w:val="single" w:color="000000" w:sz="4" w:space="0"/>
              <w:right w:val="single" w:color="000000" w:sz="4" w:space="0"/>
            </w:tcBorders>
            <w:noWrap/>
            <w:vAlign w:val="center"/>
          </w:tcPr>
          <w:p w14:paraId="6B27F9DA">
            <w:pPr>
              <w:snapToGrid w:val="0"/>
              <w:jc w:val="center"/>
              <w:rPr>
                <w:rFonts w:ascii="Cambria Math" w:hAnsi="Cambria Math" w:cs="Cambria Math"/>
                <w:color w:val="auto"/>
                <w:szCs w:val="21"/>
              </w:rPr>
            </w:pPr>
          </w:p>
        </w:tc>
      </w:tr>
      <w:tr w14:paraId="7C3E2996">
        <w:tblPrEx>
          <w:tblCellMar>
            <w:top w:w="0" w:type="dxa"/>
            <w:left w:w="10" w:type="dxa"/>
            <w:bottom w:w="0" w:type="dxa"/>
            <w:right w:w="10" w:type="dxa"/>
          </w:tblCellMar>
        </w:tblPrEx>
        <w:trPr>
          <w:trHeight w:val="20" w:hRule="atLeast"/>
          <w:jc w:val="center"/>
        </w:trPr>
        <w:tc>
          <w:tcPr>
            <w:tcW w:w="618" w:type="dxa"/>
            <w:tcBorders>
              <w:top w:val="single" w:color="000000" w:sz="4" w:space="0"/>
              <w:left w:val="single" w:color="000000" w:sz="4" w:space="0"/>
              <w:bottom w:val="single" w:color="000000" w:sz="4" w:space="0"/>
              <w:right w:val="single" w:color="000000" w:sz="4" w:space="0"/>
            </w:tcBorders>
            <w:noWrap/>
            <w:vAlign w:val="center"/>
          </w:tcPr>
          <w:p w14:paraId="49464D1B">
            <w:pPr>
              <w:widowControl/>
              <w:snapToGrid w:val="0"/>
              <w:jc w:val="center"/>
              <w:textAlignment w:val="center"/>
              <w:rPr>
                <w:rFonts w:ascii="Cambria Math" w:hAnsi="Cambria Math" w:cs="Cambria Math"/>
                <w:color w:val="auto"/>
                <w:szCs w:val="21"/>
              </w:rPr>
            </w:pPr>
          </w:p>
        </w:tc>
        <w:tc>
          <w:tcPr>
            <w:tcW w:w="1337" w:type="dxa"/>
            <w:tcBorders>
              <w:top w:val="single" w:color="000000" w:sz="4" w:space="0"/>
              <w:left w:val="single" w:color="000000" w:sz="4" w:space="0"/>
              <w:bottom w:val="single" w:color="000000" w:sz="4" w:space="0"/>
              <w:right w:val="single" w:color="000000" w:sz="4" w:space="0"/>
            </w:tcBorders>
            <w:noWrap/>
            <w:vAlign w:val="center"/>
          </w:tcPr>
          <w:p w14:paraId="26B3CA71">
            <w:pPr>
              <w:widowControl/>
              <w:snapToGrid w:val="0"/>
              <w:jc w:val="center"/>
              <w:textAlignment w:val="center"/>
              <w:rPr>
                <w:rFonts w:ascii="Cambria Math" w:hAnsi="Cambria Math" w:cs="Cambria Math"/>
                <w:color w:val="auto"/>
                <w:szCs w:val="21"/>
              </w:rPr>
            </w:pPr>
          </w:p>
        </w:tc>
        <w:tc>
          <w:tcPr>
            <w:tcW w:w="3260" w:type="dxa"/>
            <w:tcBorders>
              <w:top w:val="single" w:color="000000" w:sz="4" w:space="0"/>
              <w:left w:val="single" w:color="000000" w:sz="4" w:space="0"/>
              <w:bottom w:val="single" w:color="000000" w:sz="4" w:space="0"/>
              <w:right w:val="single" w:color="000000" w:sz="4" w:space="0"/>
            </w:tcBorders>
            <w:noWrap/>
            <w:vAlign w:val="center"/>
          </w:tcPr>
          <w:p w14:paraId="529006E5">
            <w:pPr>
              <w:widowControl/>
              <w:snapToGrid w:val="0"/>
              <w:jc w:val="center"/>
              <w:textAlignment w:val="center"/>
              <w:rPr>
                <w:rFonts w:ascii="Cambria Math" w:hAnsi="Cambria Math" w:cs="Cambria Math"/>
                <w:color w:val="auto"/>
                <w:szCs w:val="21"/>
              </w:rPr>
            </w:pPr>
          </w:p>
        </w:tc>
        <w:tc>
          <w:tcPr>
            <w:tcW w:w="645" w:type="dxa"/>
            <w:tcBorders>
              <w:top w:val="single" w:color="000000" w:sz="4" w:space="0"/>
              <w:left w:val="single" w:color="000000" w:sz="4" w:space="0"/>
              <w:bottom w:val="single" w:color="000000" w:sz="4" w:space="0"/>
              <w:right w:val="single" w:color="000000" w:sz="4" w:space="0"/>
            </w:tcBorders>
            <w:noWrap/>
            <w:vAlign w:val="center"/>
          </w:tcPr>
          <w:p w14:paraId="15CBA597">
            <w:pPr>
              <w:widowControl/>
              <w:snapToGrid w:val="0"/>
              <w:jc w:val="center"/>
              <w:textAlignment w:val="center"/>
              <w:rPr>
                <w:rFonts w:ascii="Cambria Math" w:hAnsi="Cambria Math" w:cs="Cambria Math"/>
                <w:color w:val="auto"/>
                <w:szCs w:val="21"/>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536B230D">
            <w:pPr>
              <w:snapToGrid w:val="0"/>
              <w:jc w:val="center"/>
              <w:rPr>
                <w:rFonts w:ascii="Cambria Math" w:hAnsi="Cambria Math" w:cs="Cambria Math"/>
                <w:color w:val="auto"/>
                <w:szCs w:val="21"/>
              </w:rPr>
            </w:pPr>
          </w:p>
        </w:tc>
        <w:tc>
          <w:tcPr>
            <w:tcW w:w="1413" w:type="dxa"/>
            <w:tcBorders>
              <w:top w:val="single" w:color="000000" w:sz="4" w:space="0"/>
              <w:left w:val="single" w:color="000000" w:sz="4" w:space="0"/>
              <w:bottom w:val="single" w:color="000000" w:sz="4" w:space="0"/>
              <w:right w:val="single" w:color="000000" w:sz="4" w:space="0"/>
            </w:tcBorders>
            <w:vAlign w:val="center"/>
          </w:tcPr>
          <w:p w14:paraId="65403A82">
            <w:pPr>
              <w:widowControl/>
              <w:snapToGrid w:val="0"/>
              <w:jc w:val="right"/>
              <w:textAlignment w:val="center"/>
              <w:rPr>
                <w:rFonts w:ascii="Cambria Math" w:hAnsi="Cambria Math" w:cs="Cambria Math"/>
                <w:color w:val="auto"/>
                <w:szCs w:val="21"/>
              </w:rPr>
            </w:pPr>
          </w:p>
        </w:tc>
        <w:tc>
          <w:tcPr>
            <w:tcW w:w="1467" w:type="dxa"/>
            <w:tcBorders>
              <w:top w:val="single" w:color="000000" w:sz="4" w:space="0"/>
              <w:left w:val="single" w:color="000000" w:sz="4" w:space="0"/>
              <w:bottom w:val="single" w:color="000000" w:sz="4" w:space="0"/>
              <w:right w:val="single" w:color="000000" w:sz="4" w:space="0"/>
            </w:tcBorders>
            <w:vAlign w:val="center"/>
          </w:tcPr>
          <w:p w14:paraId="4D326EC0">
            <w:pPr>
              <w:widowControl/>
              <w:snapToGrid w:val="0"/>
              <w:jc w:val="right"/>
              <w:textAlignment w:val="center"/>
              <w:rPr>
                <w:rFonts w:ascii="Cambria Math" w:hAnsi="Cambria Math" w:cs="Cambria Math"/>
                <w:color w:val="auto"/>
                <w:szCs w:val="21"/>
              </w:rPr>
            </w:pPr>
          </w:p>
        </w:tc>
        <w:tc>
          <w:tcPr>
            <w:tcW w:w="496" w:type="dxa"/>
            <w:tcBorders>
              <w:top w:val="single" w:color="000000" w:sz="4" w:space="0"/>
              <w:left w:val="single" w:color="000000" w:sz="4" w:space="0"/>
              <w:bottom w:val="single" w:color="000000" w:sz="4" w:space="0"/>
              <w:right w:val="single" w:color="000000" w:sz="4" w:space="0"/>
            </w:tcBorders>
            <w:noWrap/>
            <w:vAlign w:val="center"/>
          </w:tcPr>
          <w:p w14:paraId="1C0B2ADC">
            <w:pPr>
              <w:snapToGrid w:val="0"/>
              <w:jc w:val="center"/>
              <w:rPr>
                <w:rFonts w:ascii="Cambria Math" w:hAnsi="Cambria Math" w:cs="Cambria Math"/>
                <w:color w:val="auto"/>
                <w:szCs w:val="21"/>
              </w:rPr>
            </w:pPr>
          </w:p>
        </w:tc>
      </w:tr>
      <w:tr w14:paraId="310CBB3C">
        <w:tblPrEx>
          <w:tblCellMar>
            <w:top w:w="0" w:type="dxa"/>
            <w:left w:w="10" w:type="dxa"/>
            <w:bottom w:w="0" w:type="dxa"/>
            <w:right w:w="10" w:type="dxa"/>
          </w:tblCellMar>
        </w:tblPrEx>
        <w:trPr>
          <w:trHeight w:val="20" w:hRule="atLeast"/>
          <w:jc w:val="center"/>
        </w:trPr>
        <w:tc>
          <w:tcPr>
            <w:tcW w:w="618" w:type="dxa"/>
            <w:tcBorders>
              <w:top w:val="single" w:color="000000" w:sz="4" w:space="0"/>
              <w:left w:val="single" w:color="000000" w:sz="4" w:space="0"/>
              <w:bottom w:val="single" w:color="000000" w:sz="4" w:space="0"/>
              <w:right w:val="single" w:color="000000" w:sz="4" w:space="0"/>
            </w:tcBorders>
            <w:noWrap/>
            <w:vAlign w:val="center"/>
          </w:tcPr>
          <w:p w14:paraId="46699D34">
            <w:pPr>
              <w:widowControl/>
              <w:snapToGrid w:val="0"/>
              <w:jc w:val="center"/>
              <w:textAlignment w:val="center"/>
              <w:rPr>
                <w:rFonts w:ascii="Cambria Math" w:hAnsi="Cambria Math" w:cs="Cambria Math"/>
                <w:color w:val="auto"/>
                <w:kern w:val="0"/>
                <w:szCs w:val="21"/>
                <w:lang w:bidi="ar"/>
              </w:rPr>
            </w:pPr>
          </w:p>
        </w:tc>
        <w:tc>
          <w:tcPr>
            <w:tcW w:w="1337" w:type="dxa"/>
            <w:tcBorders>
              <w:top w:val="single" w:color="000000" w:sz="4" w:space="0"/>
              <w:left w:val="single" w:color="000000" w:sz="4" w:space="0"/>
              <w:bottom w:val="single" w:color="000000" w:sz="4" w:space="0"/>
              <w:right w:val="single" w:color="000000" w:sz="4" w:space="0"/>
            </w:tcBorders>
            <w:noWrap/>
            <w:vAlign w:val="center"/>
          </w:tcPr>
          <w:p w14:paraId="346F9889">
            <w:pPr>
              <w:widowControl/>
              <w:snapToGrid w:val="0"/>
              <w:jc w:val="center"/>
              <w:textAlignment w:val="center"/>
              <w:rPr>
                <w:rFonts w:ascii="Cambria Math" w:hAnsi="Cambria Math" w:cs="Cambria Math"/>
                <w:color w:val="auto"/>
                <w:szCs w:val="21"/>
              </w:rPr>
            </w:pPr>
          </w:p>
        </w:tc>
        <w:tc>
          <w:tcPr>
            <w:tcW w:w="3260" w:type="dxa"/>
            <w:tcBorders>
              <w:top w:val="single" w:color="000000" w:sz="4" w:space="0"/>
              <w:left w:val="single" w:color="000000" w:sz="4" w:space="0"/>
              <w:bottom w:val="single" w:color="000000" w:sz="4" w:space="0"/>
              <w:right w:val="single" w:color="000000" w:sz="4" w:space="0"/>
            </w:tcBorders>
            <w:noWrap/>
            <w:vAlign w:val="center"/>
          </w:tcPr>
          <w:p w14:paraId="00EB7347">
            <w:pPr>
              <w:widowControl/>
              <w:snapToGrid w:val="0"/>
              <w:jc w:val="center"/>
              <w:textAlignment w:val="center"/>
              <w:rPr>
                <w:rFonts w:ascii="Cambria Math" w:hAnsi="Cambria Math" w:cs="Cambria Math"/>
                <w:color w:val="auto"/>
                <w:szCs w:val="21"/>
              </w:rPr>
            </w:pPr>
          </w:p>
        </w:tc>
        <w:tc>
          <w:tcPr>
            <w:tcW w:w="645" w:type="dxa"/>
            <w:tcBorders>
              <w:top w:val="single" w:color="000000" w:sz="4" w:space="0"/>
              <w:left w:val="single" w:color="000000" w:sz="4" w:space="0"/>
              <w:bottom w:val="single" w:color="000000" w:sz="4" w:space="0"/>
              <w:right w:val="single" w:color="000000" w:sz="4" w:space="0"/>
            </w:tcBorders>
            <w:noWrap/>
            <w:vAlign w:val="center"/>
          </w:tcPr>
          <w:p w14:paraId="2C778C81">
            <w:pPr>
              <w:widowControl/>
              <w:snapToGrid w:val="0"/>
              <w:jc w:val="center"/>
              <w:textAlignment w:val="center"/>
              <w:rPr>
                <w:rFonts w:ascii="Cambria Math" w:hAnsi="Cambria Math" w:cs="Cambria Math"/>
                <w:color w:val="auto"/>
                <w:szCs w:val="21"/>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6264B53F">
            <w:pPr>
              <w:snapToGrid w:val="0"/>
              <w:jc w:val="center"/>
              <w:rPr>
                <w:rFonts w:ascii="Cambria Math" w:hAnsi="Cambria Math" w:cs="Cambria Math"/>
                <w:color w:val="auto"/>
                <w:szCs w:val="21"/>
              </w:rPr>
            </w:pPr>
          </w:p>
        </w:tc>
        <w:tc>
          <w:tcPr>
            <w:tcW w:w="1413" w:type="dxa"/>
            <w:tcBorders>
              <w:top w:val="single" w:color="000000" w:sz="4" w:space="0"/>
              <w:left w:val="single" w:color="000000" w:sz="4" w:space="0"/>
              <w:bottom w:val="single" w:color="000000" w:sz="4" w:space="0"/>
              <w:right w:val="single" w:color="000000" w:sz="4" w:space="0"/>
            </w:tcBorders>
            <w:vAlign w:val="center"/>
          </w:tcPr>
          <w:p w14:paraId="327F33E4">
            <w:pPr>
              <w:widowControl/>
              <w:snapToGrid w:val="0"/>
              <w:jc w:val="right"/>
              <w:textAlignment w:val="center"/>
              <w:rPr>
                <w:rFonts w:ascii="Cambria Math" w:hAnsi="Cambria Math" w:cs="Cambria Math"/>
                <w:color w:val="auto"/>
                <w:szCs w:val="21"/>
              </w:rPr>
            </w:pPr>
          </w:p>
        </w:tc>
        <w:tc>
          <w:tcPr>
            <w:tcW w:w="1467" w:type="dxa"/>
            <w:tcBorders>
              <w:top w:val="single" w:color="000000" w:sz="4" w:space="0"/>
              <w:left w:val="single" w:color="000000" w:sz="4" w:space="0"/>
              <w:bottom w:val="single" w:color="000000" w:sz="4" w:space="0"/>
              <w:right w:val="single" w:color="000000" w:sz="4" w:space="0"/>
            </w:tcBorders>
            <w:vAlign w:val="center"/>
          </w:tcPr>
          <w:p w14:paraId="2145E51D">
            <w:pPr>
              <w:widowControl/>
              <w:snapToGrid w:val="0"/>
              <w:jc w:val="right"/>
              <w:textAlignment w:val="center"/>
              <w:rPr>
                <w:rFonts w:ascii="Cambria Math" w:hAnsi="Cambria Math" w:cs="Cambria Math"/>
                <w:color w:val="auto"/>
                <w:szCs w:val="21"/>
              </w:rPr>
            </w:pPr>
          </w:p>
        </w:tc>
        <w:tc>
          <w:tcPr>
            <w:tcW w:w="496" w:type="dxa"/>
            <w:tcBorders>
              <w:top w:val="single" w:color="000000" w:sz="4" w:space="0"/>
              <w:left w:val="single" w:color="000000" w:sz="4" w:space="0"/>
              <w:bottom w:val="single" w:color="000000" w:sz="4" w:space="0"/>
              <w:right w:val="single" w:color="000000" w:sz="4" w:space="0"/>
            </w:tcBorders>
            <w:noWrap/>
            <w:vAlign w:val="center"/>
          </w:tcPr>
          <w:p w14:paraId="30BC9F02">
            <w:pPr>
              <w:snapToGrid w:val="0"/>
              <w:jc w:val="center"/>
              <w:rPr>
                <w:rFonts w:ascii="Cambria Math" w:hAnsi="Cambria Math" w:cs="Cambria Math"/>
                <w:color w:val="auto"/>
                <w:szCs w:val="21"/>
              </w:rPr>
            </w:pPr>
          </w:p>
        </w:tc>
      </w:tr>
      <w:tr w14:paraId="50A1907C">
        <w:tblPrEx>
          <w:tblCellMar>
            <w:top w:w="0" w:type="dxa"/>
            <w:left w:w="10" w:type="dxa"/>
            <w:bottom w:w="0" w:type="dxa"/>
            <w:right w:w="10" w:type="dxa"/>
          </w:tblCellMar>
        </w:tblPrEx>
        <w:trPr>
          <w:trHeight w:val="20" w:hRule="atLeast"/>
          <w:jc w:val="center"/>
        </w:trPr>
        <w:tc>
          <w:tcPr>
            <w:tcW w:w="7933" w:type="dxa"/>
            <w:gridSpan w:val="6"/>
            <w:tcBorders>
              <w:top w:val="single" w:color="000000" w:sz="4" w:space="0"/>
              <w:left w:val="single" w:color="000000" w:sz="4" w:space="0"/>
              <w:bottom w:val="single" w:color="000000" w:sz="4" w:space="0"/>
              <w:right w:val="single" w:color="000000" w:sz="4" w:space="0"/>
            </w:tcBorders>
            <w:noWrap/>
            <w:vAlign w:val="center"/>
          </w:tcPr>
          <w:p w14:paraId="33FD960E">
            <w:pPr>
              <w:snapToGrid w:val="0"/>
              <w:jc w:val="center"/>
              <w:rPr>
                <w:rFonts w:ascii="Cambria Math" w:hAnsi="Cambria Math" w:cs="Cambria Math"/>
                <w:color w:val="auto"/>
                <w:szCs w:val="21"/>
              </w:rPr>
            </w:pPr>
          </w:p>
        </w:tc>
        <w:tc>
          <w:tcPr>
            <w:tcW w:w="1467" w:type="dxa"/>
            <w:tcBorders>
              <w:top w:val="single" w:color="000000" w:sz="4" w:space="0"/>
              <w:left w:val="single" w:color="000000" w:sz="4" w:space="0"/>
              <w:bottom w:val="single" w:color="000000" w:sz="4" w:space="0"/>
              <w:right w:val="single" w:color="000000" w:sz="4" w:space="0"/>
            </w:tcBorders>
            <w:vAlign w:val="center"/>
          </w:tcPr>
          <w:p w14:paraId="28F1BD33">
            <w:pPr>
              <w:widowControl/>
              <w:snapToGrid w:val="0"/>
              <w:jc w:val="right"/>
              <w:textAlignment w:val="center"/>
              <w:rPr>
                <w:rFonts w:hint="eastAsia" w:ascii="宋体" w:hAnsi="宋体" w:cs="宋体"/>
                <w:color w:val="auto"/>
                <w:kern w:val="0"/>
                <w:sz w:val="22"/>
              </w:rPr>
            </w:pPr>
          </w:p>
        </w:tc>
        <w:tc>
          <w:tcPr>
            <w:tcW w:w="496" w:type="dxa"/>
            <w:tcBorders>
              <w:top w:val="single" w:color="000000" w:sz="4" w:space="0"/>
              <w:left w:val="single" w:color="000000" w:sz="4" w:space="0"/>
              <w:bottom w:val="single" w:color="000000" w:sz="4" w:space="0"/>
              <w:right w:val="single" w:color="000000" w:sz="4" w:space="0"/>
            </w:tcBorders>
            <w:noWrap/>
            <w:vAlign w:val="center"/>
          </w:tcPr>
          <w:p w14:paraId="14D96BFB">
            <w:pPr>
              <w:snapToGrid w:val="0"/>
              <w:jc w:val="center"/>
              <w:rPr>
                <w:rFonts w:ascii="Cambria Math" w:hAnsi="Cambria Math" w:cs="Cambria Math"/>
                <w:color w:val="auto"/>
                <w:szCs w:val="21"/>
              </w:rPr>
            </w:pPr>
          </w:p>
        </w:tc>
      </w:tr>
      <w:tr w14:paraId="4A4D1238">
        <w:tblPrEx>
          <w:tblCellMar>
            <w:top w:w="0" w:type="dxa"/>
            <w:left w:w="10" w:type="dxa"/>
            <w:bottom w:w="0" w:type="dxa"/>
            <w:right w:w="10" w:type="dxa"/>
          </w:tblCellMar>
        </w:tblPrEx>
        <w:trPr>
          <w:trHeight w:val="20" w:hRule="atLeast"/>
          <w:jc w:val="center"/>
        </w:trPr>
        <w:tc>
          <w:tcPr>
            <w:tcW w:w="9896" w:type="dxa"/>
            <w:gridSpan w:val="8"/>
            <w:tcBorders>
              <w:top w:val="single" w:color="000000" w:sz="4" w:space="0"/>
              <w:left w:val="single" w:color="000000" w:sz="4" w:space="0"/>
              <w:bottom w:val="single" w:color="000000" w:sz="4" w:space="0"/>
              <w:right w:val="single" w:color="000000" w:sz="4" w:space="0"/>
            </w:tcBorders>
            <w:noWrap/>
            <w:vAlign w:val="center"/>
          </w:tcPr>
          <w:p w14:paraId="5CE93C22">
            <w:pPr>
              <w:snapToGrid w:val="0"/>
              <w:jc w:val="center"/>
              <w:rPr>
                <w:rFonts w:ascii="Cambria Math" w:hAnsi="Cambria Math" w:cs="Cambria Math"/>
                <w:b/>
                <w:bCs/>
                <w:color w:val="auto"/>
                <w:szCs w:val="21"/>
              </w:rPr>
            </w:pPr>
          </w:p>
        </w:tc>
      </w:tr>
    </w:tbl>
    <w:p w14:paraId="4FFA3C2E">
      <w:pPr>
        <w:spacing w:line="360" w:lineRule="auto"/>
        <w:rPr>
          <w:color w:val="auto"/>
        </w:rPr>
      </w:pPr>
    </w:p>
    <w:p w14:paraId="7E7B5453">
      <w:pPr>
        <w:spacing w:line="360" w:lineRule="auto"/>
        <w:rPr>
          <w:color w:val="auto"/>
        </w:rPr>
      </w:pPr>
    </w:p>
    <w:p w14:paraId="4D6622DA">
      <w:pPr>
        <w:spacing w:line="360" w:lineRule="auto"/>
        <w:rPr>
          <w:color w:val="auto"/>
        </w:rPr>
      </w:pPr>
    </w:p>
    <w:p w14:paraId="156340F0">
      <w:pPr>
        <w:spacing w:line="360" w:lineRule="auto"/>
        <w:rPr>
          <w:color w:val="auto"/>
        </w:rPr>
      </w:pPr>
    </w:p>
    <w:p w14:paraId="4E950E90">
      <w:pPr>
        <w:spacing w:line="360" w:lineRule="auto"/>
        <w:rPr>
          <w:color w:val="auto"/>
        </w:rPr>
      </w:pPr>
    </w:p>
    <w:p w14:paraId="68F4060D">
      <w:pPr>
        <w:spacing w:line="360" w:lineRule="auto"/>
        <w:rPr>
          <w:color w:val="auto"/>
        </w:rPr>
      </w:pPr>
    </w:p>
    <w:p w14:paraId="0E68C63A">
      <w:pPr>
        <w:spacing w:line="360" w:lineRule="auto"/>
        <w:rPr>
          <w:color w:val="auto"/>
        </w:rPr>
      </w:pPr>
    </w:p>
    <w:p w14:paraId="432BD211">
      <w:pPr>
        <w:spacing w:line="360" w:lineRule="auto"/>
        <w:rPr>
          <w:color w:val="auto"/>
        </w:rPr>
      </w:pPr>
    </w:p>
    <w:p w14:paraId="781D06B2">
      <w:pPr>
        <w:spacing w:line="360" w:lineRule="auto"/>
        <w:rPr>
          <w:color w:val="auto"/>
        </w:rPr>
      </w:pPr>
    </w:p>
    <w:p w14:paraId="25F38791">
      <w:pPr>
        <w:spacing w:line="360" w:lineRule="auto"/>
        <w:rPr>
          <w:color w:val="auto"/>
        </w:rPr>
      </w:pPr>
    </w:p>
    <w:p w14:paraId="578E11D3">
      <w:pPr>
        <w:widowControl/>
        <w:jc w:val="left"/>
        <w:rPr>
          <w:rFonts w:hint="eastAsia"/>
          <w:color w:val="auto"/>
        </w:rPr>
      </w:pPr>
      <w:r>
        <w:rPr>
          <w:rFonts w:hint="eastAsia"/>
          <w:color w:val="auto"/>
        </w:rPr>
        <w:br w:type="page"/>
      </w:r>
    </w:p>
    <w:p w14:paraId="6AC66F4B">
      <w:pPr>
        <w:widowControl/>
        <w:jc w:val="left"/>
        <w:rPr>
          <w:rFonts w:ascii="宋体" w:hAnsi="宋体"/>
          <w:color w:val="auto"/>
        </w:rPr>
      </w:pPr>
      <w:r>
        <w:rPr>
          <w:rFonts w:hint="eastAsia"/>
          <w:color w:val="auto"/>
        </w:rPr>
        <w:t>附件二：</w:t>
      </w:r>
      <w:r>
        <w:rPr>
          <w:rFonts w:ascii="宋体" w:hAnsi="宋体"/>
          <w:color w:val="auto"/>
        </w:rPr>
        <w:t>OTN 传输设备技术规范书（2026 年 5 月）</w:t>
      </w:r>
    </w:p>
    <w:p w14:paraId="785BC37E">
      <w:pPr>
        <w:widowControl/>
        <w:jc w:val="left"/>
        <w:rPr>
          <w:rFonts w:ascii="宋体" w:hAnsi="宋体"/>
          <w:color w:val="auto"/>
        </w:rPr>
      </w:pPr>
    </w:p>
    <w:p w14:paraId="716274E9">
      <w:pPr>
        <w:widowControl/>
        <w:jc w:val="left"/>
        <w:rPr>
          <w:rFonts w:ascii="宋体" w:hAnsi="宋体"/>
          <w:color w:val="auto"/>
        </w:rPr>
      </w:pPr>
    </w:p>
    <w:p w14:paraId="1B4E8EDD">
      <w:pPr>
        <w:widowControl/>
        <w:jc w:val="left"/>
        <w:rPr>
          <w:rFonts w:ascii="宋体" w:hAnsi="宋体"/>
          <w:color w:val="auto"/>
        </w:rPr>
      </w:pPr>
    </w:p>
    <w:p w14:paraId="4F04C92F">
      <w:pPr>
        <w:widowControl/>
        <w:jc w:val="left"/>
        <w:rPr>
          <w:rFonts w:ascii="宋体" w:hAnsi="宋体"/>
          <w:color w:val="auto"/>
        </w:rPr>
      </w:pPr>
    </w:p>
    <w:p w14:paraId="10AE1B2F">
      <w:pPr>
        <w:widowControl/>
        <w:jc w:val="left"/>
        <w:rPr>
          <w:rFonts w:ascii="宋体" w:hAnsi="宋体"/>
          <w:color w:val="auto"/>
        </w:rPr>
      </w:pPr>
    </w:p>
    <w:p w14:paraId="3507D0EF">
      <w:pPr>
        <w:widowControl/>
        <w:jc w:val="left"/>
        <w:rPr>
          <w:rFonts w:ascii="宋体" w:hAnsi="宋体"/>
          <w:color w:val="auto"/>
        </w:rPr>
      </w:pPr>
    </w:p>
    <w:p w14:paraId="22D70D0B">
      <w:pPr>
        <w:widowControl/>
        <w:jc w:val="left"/>
        <w:rPr>
          <w:rFonts w:ascii="宋体" w:hAnsi="宋体"/>
          <w:color w:val="auto"/>
        </w:rPr>
      </w:pPr>
    </w:p>
    <w:p w14:paraId="5D13D615">
      <w:pPr>
        <w:widowControl/>
        <w:jc w:val="left"/>
        <w:rPr>
          <w:rFonts w:ascii="宋体" w:hAnsi="宋体"/>
          <w:color w:val="auto"/>
        </w:rPr>
      </w:pPr>
    </w:p>
    <w:p w14:paraId="18C54726">
      <w:pPr>
        <w:widowControl/>
        <w:jc w:val="left"/>
        <w:rPr>
          <w:rFonts w:ascii="宋体" w:hAnsi="宋体"/>
          <w:color w:val="auto"/>
        </w:rPr>
      </w:pPr>
    </w:p>
    <w:p w14:paraId="67A3A396">
      <w:pPr>
        <w:widowControl/>
        <w:jc w:val="left"/>
        <w:rPr>
          <w:rFonts w:ascii="宋体" w:hAnsi="宋体"/>
          <w:color w:val="auto"/>
        </w:rPr>
      </w:pPr>
    </w:p>
    <w:p w14:paraId="044AF3A4">
      <w:pPr>
        <w:widowControl/>
        <w:jc w:val="left"/>
        <w:rPr>
          <w:rFonts w:ascii="宋体" w:hAnsi="宋体"/>
          <w:color w:val="auto"/>
        </w:rPr>
      </w:pPr>
    </w:p>
    <w:p w14:paraId="2B2EB8DB">
      <w:pPr>
        <w:widowControl/>
        <w:jc w:val="left"/>
        <w:rPr>
          <w:rFonts w:ascii="宋体" w:hAnsi="宋体"/>
          <w:color w:val="auto"/>
        </w:rPr>
      </w:pPr>
    </w:p>
    <w:p w14:paraId="79886531">
      <w:pPr>
        <w:widowControl/>
        <w:jc w:val="left"/>
        <w:rPr>
          <w:rFonts w:ascii="宋体" w:hAnsi="宋体"/>
          <w:color w:val="auto"/>
        </w:rPr>
      </w:pPr>
    </w:p>
    <w:p w14:paraId="4E934B39">
      <w:pPr>
        <w:widowControl/>
        <w:jc w:val="left"/>
        <w:rPr>
          <w:rFonts w:ascii="宋体" w:hAnsi="宋体"/>
          <w:color w:val="auto"/>
        </w:rPr>
      </w:pPr>
    </w:p>
    <w:p w14:paraId="40B9F319">
      <w:pPr>
        <w:widowControl/>
        <w:jc w:val="left"/>
        <w:rPr>
          <w:rFonts w:ascii="宋体" w:hAnsi="宋体"/>
          <w:color w:val="auto"/>
        </w:rPr>
      </w:pPr>
    </w:p>
    <w:p w14:paraId="076C3961">
      <w:pPr>
        <w:widowControl/>
        <w:jc w:val="left"/>
        <w:rPr>
          <w:rFonts w:ascii="宋体" w:hAnsi="宋体"/>
          <w:color w:val="auto"/>
        </w:rPr>
      </w:pPr>
    </w:p>
    <w:p w14:paraId="05FCB8C8">
      <w:pPr>
        <w:widowControl/>
        <w:jc w:val="left"/>
        <w:rPr>
          <w:rFonts w:ascii="宋体" w:hAnsi="宋体"/>
          <w:color w:val="auto"/>
        </w:rPr>
      </w:pPr>
    </w:p>
    <w:p w14:paraId="207076C0">
      <w:pPr>
        <w:widowControl/>
        <w:jc w:val="left"/>
        <w:rPr>
          <w:rFonts w:ascii="宋体" w:hAnsi="宋体"/>
          <w:color w:val="auto"/>
        </w:rPr>
      </w:pPr>
    </w:p>
    <w:p w14:paraId="2BD624B3">
      <w:pPr>
        <w:widowControl/>
        <w:jc w:val="left"/>
        <w:rPr>
          <w:rFonts w:ascii="宋体" w:hAnsi="宋体"/>
          <w:color w:val="auto"/>
        </w:rPr>
      </w:pPr>
    </w:p>
    <w:p w14:paraId="01839E79">
      <w:pPr>
        <w:widowControl/>
        <w:jc w:val="left"/>
        <w:rPr>
          <w:rFonts w:ascii="宋体" w:hAnsi="宋体"/>
          <w:color w:val="auto"/>
        </w:rPr>
      </w:pPr>
    </w:p>
    <w:p w14:paraId="335552E1">
      <w:pPr>
        <w:widowControl/>
        <w:jc w:val="left"/>
        <w:rPr>
          <w:rFonts w:ascii="宋体" w:hAnsi="宋体"/>
          <w:color w:val="auto"/>
        </w:rPr>
      </w:pPr>
    </w:p>
    <w:p w14:paraId="0A2A3697">
      <w:pPr>
        <w:widowControl/>
        <w:jc w:val="left"/>
        <w:rPr>
          <w:rFonts w:ascii="宋体" w:hAnsi="宋体"/>
          <w:color w:val="auto"/>
        </w:rPr>
      </w:pPr>
    </w:p>
    <w:p w14:paraId="5ADC4FBB">
      <w:pPr>
        <w:widowControl/>
        <w:jc w:val="left"/>
        <w:rPr>
          <w:rFonts w:ascii="宋体" w:hAnsi="宋体"/>
          <w:color w:val="auto"/>
        </w:rPr>
      </w:pPr>
    </w:p>
    <w:p w14:paraId="05D1A0A4">
      <w:pPr>
        <w:widowControl/>
        <w:jc w:val="left"/>
        <w:rPr>
          <w:rFonts w:ascii="宋体" w:hAnsi="宋体"/>
          <w:color w:val="auto"/>
        </w:rPr>
      </w:pPr>
    </w:p>
    <w:p w14:paraId="3CE54A83">
      <w:pPr>
        <w:widowControl/>
        <w:jc w:val="left"/>
        <w:rPr>
          <w:rFonts w:ascii="宋体" w:hAnsi="宋体"/>
          <w:color w:val="auto"/>
        </w:rPr>
      </w:pPr>
    </w:p>
    <w:p w14:paraId="64EC7F8A">
      <w:pPr>
        <w:widowControl/>
        <w:jc w:val="left"/>
        <w:rPr>
          <w:rFonts w:ascii="宋体" w:hAnsi="宋体"/>
          <w:color w:val="auto"/>
        </w:rPr>
      </w:pPr>
    </w:p>
    <w:p w14:paraId="39BCC086">
      <w:pPr>
        <w:widowControl/>
        <w:jc w:val="left"/>
        <w:rPr>
          <w:rFonts w:ascii="宋体" w:hAnsi="宋体"/>
          <w:color w:val="auto"/>
        </w:rPr>
      </w:pPr>
    </w:p>
    <w:p w14:paraId="74426FD6">
      <w:pPr>
        <w:widowControl/>
        <w:jc w:val="left"/>
        <w:rPr>
          <w:rFonts w:ascii="宋体" w:hAnsi="宋体"/>
          <w:color w:val="auto"/>
        </w:rPr>
      </w:pPr>
    </w:p>
    <w:p w14:paraId="75889B10">
      <w:pPr>
        <w:widowControl/>
        <w:jc w:val="left"/>
        <w:rPr>
          <w:rFonts w:ascii="宋体" w:hAnsi="宋体"/>
          <w:color w:val="auto"/>
        </w:rPr>
      </w:pPr>
    </w:p>
    <w:p w14:paraId="4F8F4468">
      <w:pPr>
        <w:widowControl/>
        <w:jc w:val="left"/>
        <w:rPr>
          <w:rFonts w:ascii="宋体" w:hAnsi="宋体"/>
          <w:color w:val="auto"/>
        </w:rPr>
      </w:pPr>
    </w:p>
    <w:p w14:paraId="4C4812D1">
      <w:pPr>
        <w:widowControl/>
        <w:jc w:val="left"/>
        <w:rPr>
          <w:rFonts w:ascii="宋体" w:hAnsi="宋体"/>
          <w:color w:val="auto"/>
        </w:rPr>
      </w:pPr>
    </w:p>
    <w:p w14:paraId="58AE1D90">
      <w:pPr>
        <w:widowControl/>
        <w:jc w:val="left"/>
        <w:rPr>
          <w:rFonts w:ascii="宋体" w:hAnsi="宋体"/>
          <w:color w:val="auto"/>
        </w:rPr>
      </w:pPr>
    </w:p>
    <w:p w14:paraId="12D3FB35">
      <w:pPr>
        <w:widowControl/>
        <w:jc w:val="left"/>
        <w:rPr>
          <w:rFonts w:ascii="宋体" w:hAnsi="宋体"/>
          <w:color w:val="auto"/>
        </w:rPr>
      </w:pPr>
    </w:p>
    <w:p w14:paraId="37FD03C5">
      <w:pPr>
        <w:widowControl/>
        <w:jc w:val="left"/>
        <w:rPr>
          <w:rFonts w:ascii="宋体" w:hAnsi="宋体"/>
          <w:color w:val="auto"/>
        </w:rPr>
      </w:pPr>
    </w:p>
    <w:p w14:paraId="402E3488">
      <w:pPr>
        <w:widowControl/>
        <w:jc w:val="left"/>
        <w:rPr>
          <w:rFonts w:ascii="宋体" w:hAnsi="宋体"/>
          <w:color w:val="auto"/>
        </w:rPr>
      </w:pPr>
    </w:p>
    <w:p w14:paraId="75EA6749">
      <w:pPr>
        <w:widowControl/>
        <w:jc w:val="left"/>
        <w:rPr>
          <w:rFonts w:ascii="宋体" w:hAnsi="宋体"/>
          <w:color w:val="auto"/>
        </w:rPr>
      </w:pPr>
    </w:p>
    <w:p w14:paraId="0E4B8356">
      <w:pPr>
        <w:widowControl/>
        <w:jc w:val="left"/>
        <w:rPr>
          <w:rFonts w:ascii="宋体" w:hAnsi="宋体"/>
          <w:color w:val="auto"/>
        </w:rPr>
      </w:pPr>
    </w:p>
    <w:p w14:paraId="15C83B71">
      <w:pPr>
        <w:widowControl/>
        <w:jc w:val="left"/>
        <w:rPr>
          <w:rFonts w:ascii="宋体" w:hAnsi="宋体"/>
          <w:color w:val="auto"/>
        </w:rPr>
      </w:pPr>
    </w:p>
    <w:p w14:paraId="40881FBB">
      <w:pPr>
        <w:widowControl/>
        <w:jc w:val="left"/>
        <w:rPr>
          <w:rFonts w:ascii="宋体" w:hAnsi="宋体"/>
          <w:color w:val="auto"/>
        </w:rPr>
      </w:pPr>
    </w:p>
    <w:p w14:paraId="2719268F">
      <w:pPr>
        <w:widowControl/>
        <w:jc w:val="left"/>
        <w:rPr>
          <w:rFonts w:ascii="宋体" w:hAnsi="宋体"/>
          <w:color w:val="auto"/>
        </w:rPr>
      </w:pPr>
    </w:p>
    <w:p w14:paraId="5374E487">
      <w:pPr>
        <w:widowControl/>
        <w:jc w:val="left"/>
        <w:rPr>
          <w:rFonts w:ascii="宋体" w:hAnsi="宋体"/>
          <w:color w:val="auto"/>
        </w:rPr>
      </w:pPr>
    </w:p>
    <w:p w14:paraId="04FCCF6E">
      <w:pPr>
        <w:widowControl/>
        <w:jc w:val="left"/>
        <w:rPr>
          <w:rFonts w:ascii="宋体" w:hAnsi="宋体"/>
          <w:color w:val="auto"/>
        </w:rPr>
      </w:pPr>
      <w:r>
        <w:rPr>
          <w:rFonts w:hint="eastAsia" w:ascii="宋体" w:hAnsi="宋体"/>
          <w:color w:val="auto"/>
        </w:rPr>
        <w:t>附件三：验收合格证明</w:t>
      </w:r>
    </w:p>
    <w:p w14:paraId="293484D6">
      <w:pPr>
        <w:pStyle w:val="3"/>
        <w:spacing w:before="242" w:line="218" w:lineRule="auto"/>
        <w:ind w:left="2926"/>
        <w:rPr>
          <w:rFonts w:hint="eastAsia"/>
          <w:color w:val="auto"/>
          <w:sz w:val="46"/>
          <w:szCs w:val="46"/>
        </w:rPr>
      </w:pPr>
      <w:r>
        <w:rPr>
          <w:b/>
          <w:bCs/>
          <w:color w:val="auto"/>
          <w:spacing w:val="6"/>
          <w:sz w:val="46"/>
          <w:szCs w:val="46"/>
        </w:rPr>
        <w:t>验收合格证明</w:t>
      </w:r>
    </w:p>
    <w:p w14:paraId="5ED8D2EB">
      <w:pPr>
        <w:spacing w:line="360" w:lineRule="auto"/>
        <w:rPr>
          <w:rFonts w:hint="eastAsia" w:ascii="宋体" w:hAnsi="宋体" w:eastAsia="宋体"/>
          <w:color w:val="auto"/>
          <w:szCs w:val="21"/>
        </w:rPr>
      </w:pPr>
    </w:p>
    <w:p w14:paraId="3F205EA8">
      <w:pPr>
        <w:pStyle w:val="3"/>
        <w:spacing w:before="75" w:line="360" w:lineRule="auto"/>
        <w:rPr>
          <w:rFonts w:hint="eastAsia" w:ascii="宋体" w:hAnsi="宋体" w:eastAsia="宋体"/>
          <w:color w:val="auto"/>
          <w:szCs w:val="21"/>
        </w:rPr>
      </w:pPr>
      <w:r>
        <w:rPr>
          <w:rFonts w:ascii="宋体" w:hAnsi="宋体" w:eastAsia="宋体"/>
          <w:color w:val="auto"/>
          <w:spacing w:val="7"/>
          <w:szCs w:val="21"/>
        </w:rPr>
        <w:t>合同名称：</w:t>
      </w:r>
      <w:r>
        <w:rPr>
          <w:rFonts w:hint="eastAsia" w:ascii="宋体" w:hAnsi="宋体" w:eastAsia="宋体"/>
          <w:color w:val="auto"/>
          <w:szCs w:val="21"/>
        </w:rPr>
        <w:t xml:space="preserve"> </w:t>
      </w:r>
    </w:p>
    <w:p w14:paraId="57DC3257">
      <w:pPr>
        <w:pStyle w:val="3"/>
        <w:spacing w:before="75" w:line="360" w:lineRule="auto"/>
        <w:rPr>
          <w:rFonts w:hint="eastAsia" w:ascii="宋体" w:hAnsi="宋体" w:eastAsia="宋体"/>
          <w:color w:val="auto"/>
          <w:szCs w:val="21"/>
        </w:rPr>
      </w:pPr>
      <w:r>
        <w:rPr>
          <w:rFonts w:ascii="宋体" w:hAnsi="宋体" w:eastAsia="宋体"/>
          <w:color w:val="auto"/>
          <w:spacing w:val="1"/>
          <w:szCs w:val="21"/>
        </w:rPr>
        <w:t>合</w:t>
      </w:r>
      <w:r>
        <w:rPr>
          <w:rFonts w:hint="eastAsia" w:ascii="宋体" w:hAnsi="宋体" w:eastAsia="宋体"/>
          <w:color w:val="auto"/>
          <w:spacing w:val="1"/>
          <w:szCs w:val="21"/>
        </w:rPr>
        <w:t xml:space="preserve"> </w:t>
      </w:r>
      <w:r>
        <w:rPr>
          <w:rFonts w:ascii="宋体" w:hAnsi="宋体" w:eastAsia="宋体"/>
          <w:color w:val="auto"/>
          <w:spacing w:val="1"/>
          <w:szCs w:val="21"/>
        </w:rPr>
        <w:t>同</w:t>
      </w:r>
      <w:r>
        <w:rPr>
          <w:rFonts w:hint="eastAsia" w:ascii="宋体" w:hAnsi="宋体" w:eastAsia="宋体"/>
          <w:color w:val="auto"/>
          <w:spacing w:val="1"/>
          <w:szCs w:val="21"/>
        </w:rPr>
        <w:t xml:space="preserve"> </w:t>
      </w:r>
      <w:r>
        <w:rPr>
          <w:rFonts w:ascii="宋体" w:hAnsi="宋体" w:eastAsia="宋体"/>
          <w:color w:val="auto"/>
          <w:spacing w:val="1"/>
          <w:szCs w:val="21"/>
        </w:rPr>
        <w:t>号：</w:t>
      </w:r>
    </w:p>
    <w:p w14:paraId="35840F3E">
      <w:pPr>
        <w:spacing w:line="360" w:lineRule="auto"/>
        <w:rPr>
          <w:rFonts w:hint="eastAsia" w:ascii="宋体" w:hAnsi="宋体" w:eastAsia="宋体"/>
          <w:color w:val="auto"/>
          <w:szCs w:val="21"/>
        </w:rPr>
      </w:pPr>
    </w:p>
    <w:p w14:paraId="26499CFC">
      <w:pPr>
        <w:spacing w:line="360" w:lineRule="auto"/>
        <w:rPr>
          <w:rFonts w:hint="eastAsia" w:ascii="宋体" w:hAnsi="宋体" w:eastAsia="宋体" w:cs="宋体"/>
          <w:color w:val="auto"/>
          <w:spacing w:val="6"/>
          <w:szCs w:val="21"/>
        </w:rPr>
      </w:pPr>
      <w:r>
        <w:rPr>
          <w:rFonts w:hint="eastAsia" w:ascii="宋体" w:hAnsi="宋体" w:eastAsia="宋体" w:cs="宋体"/>
          <w:color w:val="auto"/>
          <w:spacing w:val="33"/>
          <w:szCs w:val="21"/>
        </w:rPr>
        <w:t>兹证明：</w:t>
      </w:r>
      <w:r>
        <w:rPr>
          <w:rFonts w:hint="eastAsia" w:ascii="宋体" w:hAnsi="宋体" w:eastAsia="宋体"/>
          <w:color w:val="auto"/>
          <w:spacing w:val="33"/>
          <w:szCs w:val="21"/>
          <w:u w:val="single"/>
        </w:rPr>
        <w:t>XXX项目</w:t>
      </w:r>
      <w:r>
        <w:rPr>
          <w:rFonts w:ascii="宋体" w:hAnsi="宋体" w:eastAsia="宋体"/>
          <w:color w:val="auto"/>
          <w:spacing w:val="-44"/>
          <w:szCs w:val="21"/>
        </w:rPr>
        <w:t xml:space="preserve"> </w:t>
      </w:r>
      <w:r>
        <w:rPr>
          <w:rFonts w:hint="eastAsia" w:ascii="宋体" w:hAnsi="宋体" w:eastAsia="宋体" w:cs="宋体"/>
          <w:color w:val="auto"/>
          <w:spacing w:val="9"/>
          <w:szCs w:val="21"/>
        </w:rPr>
        <w:t>下单</w:t>
      </w:r>
      <w:r>
        <w:rPr>
          <w:rFonts w:ascii="宋体" w:hAnsi="宋体" w:eastAsia="宋体"/>
          <w:color w:val="auto"/>
          <w:spacing w:val="9"/>
          <w:szCs w:val="21"/>
        </w:rPr>
        <w:t xml:space="preserve"> (</w:t>
      </w:r>
      <w:r>
        <w:rPr>
          <w:rFonts w:hint="eastAsia" w:ascii="宋体" w:hAnsi="宋体" w:eastAsia="宋体" w:cs="宋体"/>
          <w:color w:val="auto"/>
          <w:spacing w:val="9"/>
          <w:szCs w:val="21"/>
        </w:rPr>
        <w:t>签约客户</w:t>
      </w:r>
      <w:r>
        <w:rPr>
          <w:rFonts w:hint="eastAsia" w:ascii="宋体" w:hAnsi="宋体" w:eastAsia="宋体" w:cs="宋体"/>
          <w:color w:val="auto"/>
          <w:spacing w:val="9"/>
          <w:szCs w:val="21"/>
          <w:u w:val="single"/>
          <w:lang w:eastAsia="zh-CN"/>
        </w:rPr>
        <w:t>贵州联广科技股份有限公司北京分公司</w:t>
      </w:r>
      <w:r>
        <w:rPr>
          <w:rFonts w:hint="eastAsia" w:ascii="宋体" w:hAnsi="宋体" w:eastAsia="宋体" w:cs="宋体"/>
          <w:color w:val="auto"/>
          <w:spacing w:val="9"/>
          <w:szCs w:val="21"/>
        </w:rPr>
        <w:t>，最终客户</w:t>
      </w:r>
      <w:r>
        <w:rPr>
          <w:rFonts w:hint="eastAsia" w:ascii="宋体" w:hAnsi="宋体" w:eastAsia="宋体" w:cs="宋体"/>
          <w:color w:val="auto"/>
          <w:spacing w:val="9"/>
          <w:szCs w:val="21"/>
          <w:u w:val="single"/>
        </w:rPr>
        <w:t>XXX</w:t>
      </w:r>
      <w:r>
        <w:rPr>
          <w:rFonts w:hint="eastAsia" w:ascii="宋体" w:hAnsi="宋体" w:eastAsia="宋体" w:cs="宋体"/>
          <w:color w:val="auto"/>
          <w:spacing w:val="14"/>
          <w:szCs w:val="21"/>
        </w:rPr>
        <w:t>，最后一级经销商</w:t>
      </w:r>
      <w:r>
        <w:rPr>
          <w:rFonts w:hint="eastAsia" w:ascii="宋体" w:hAnsi="宋体" w:eastAsia="宋体" w:cs="宋体"/>
          <w:color w:val="auto"/>
          <w:spacing w:val="6"/>
          <w:szCs w:val="21"/>
          <w:u w:val="single"/>
        </w:rPr>
        <w:t xml:space="preserve"> XXX  </w:t>
      </w:r>
      <w:r>
        <w:rPr>
          <w:rFonts w:ascii="宋体" w:hAnsi="宋体" w:eastAsia="宋体"/>
          <w:color w:val="auto"/>
          <w:spacing w:val="14"/>
          <w:szCs w:val="21"/>
        </w:rPr>
        <w:t>)</w:t>
      </w:r>
    </w:p>
    <w:p w14:paraId="711832C1">
      <w:pPr>
        <w:pStyle w:val="3"/>
        <w:spacing w:line="360" w:lineRule="auto"/>
        <w:rPr>
          <w:rFonts w:hint="eastAsia" w:ascii="宋体" w:hAnsi="宋体" w:eastAsia="宋体"/>
          <w:color w:val="auto"/>
          <w:szCs w:val="21"/>
        </w:rPr>
      </w:pPr>
      <w:r>
        <w:rPr>
          <w:rFonts w:ascii="宋体" w:hAnsi="宋体" w:eastAsia="宋体"/>
          <w:color w:val="auto"/>
          <w:spacing w:val="18"/>
          <w:szCs w:val="21"/>
        </w:rPr>
        <w:t>该合同下的设备已于</w:t>
      </w:r>
      <w:r>
        <w:rPr>
          <w:rFonts w:hint="eastAsia" w:ascii="宋体" w:hAnsi="宋体" w:eastAsia="宋体"/>
          <w:color w:val="auto"/>
          <w:spacing w:val="18"/>
          <w:szCs w:val="21"/>
        </w:rPr>
        <w:t xml:space="preserve">   </w:t>
      </w:r>
      <w:r>
        <w:rPr>
          <w:rFonts w:ascii="宋体" w:hAnsi="宋体" w:eastAsia="宋体"/>
          <w:color w:val="auto"/>
          <w:spacing w:val="18"/>
          <w:szCs w:val="21"/>
        </w:rPr>
        <w:t>年</w:t>
      </w:r>
      <w:r>
        <w:rPr>
          <w:rFonts w:hint="eastAsia" w:ascii="宋体" w:hAnsi="宋体" w:eastAsia="宋体"/>
          <w:color w:val="auto"/>
          <w:spacing w:val="18"/>
          <w:szCs w:val="21"/>
        </w:rPr>
        <w:t xml:space="preserve">   </w:t>
      </w:r>
      <w:r>
        <w:rPr>
          <w:rFonts w:ascii="宋体" w:hAnsi="宋体" w:eastAsia="宋体"/>
          <w:color w:val="auto"/>
          <w:spacing w:val="18"/>
          <w:szCs w:val="21"/>
        </w:rPr>
        <w:t>月</w:t>
      </w:r>
      <w:r>
        <w:rPr>
          <w:rFonts w:hint="eastAsia" w:ascii="宋体" w:hAnsi="宋体" w:eastAsia="宋体"/>
          <w:color w:val="auto"/>
          <w:spacing w:val="18"/>
          <w:szCs w:val="21"/>
        </w:rPr>
        <w:t xml:space="preserve">    </w:t>
      </w:r>
      <w:r>
        <w:rPr>
          <w:rFonts w:ascii="宋体" w:hAnsi="宋体" w:eastAsia="宋体"/>
          <w:color w:val="auto"/>
          <w:spacing w:val="18"/>
          <w:szCs w:val="21"/>
        </w:rPr>
        <w:t>日成功通过验收</w:t>
      </w:r>
      <w:r>
        <w:rPr>
          <w:rFonts w:ascii="宋体" w:hAnsi="宋体" w:eastAsia="宋体"/>
          <w:color w:val="auto"/>
          <w:spacing w:val="17"/>
          <w:szCs w:val="21"/>
        </w:rPr>
        <w:t>，特此证明。</w:t>
      </w:r>
    </w:p>
    <w:p w14:paraId="486013B1">
      <w:pPr>
        <w:spacing w:before="8" w:line="360" w:lineRule="auto"/>
        <w:rPr>
          <w:rFonts w:hint="eastAsia" w:ascii="宋体" w:hAnsi="宋体" w:eastAsia="宋体"/>
          <w:color w:val="auto"/>
          <w:szCs w:val="21"/>
        </w:rPr>
      </w:pPr>
    </w:p>
    <w:p w14:paraId="28E057A0">
      <w:pPr>
        <w:spacing w:before="8" w:line="360" w:lineRule="auto"/>
        <w:rPr>
          <w:rFonts w:hint="eastAsia" w:ascii="宋体" w:hAnsi="宋体" w:eastAsia="宋体"/>
          <w:color w:val="auto"/>
          <w:szCs w:val="21"/>
        </w:rPr>
      </w:pPr>
    </w:p>
    <w:p w14:paraId="418E654C">
      <w:pPr>
        <w:spacing w:before="8" w:line="360" w:lineRule="auto"/>
        <w:rPr>
          <w:rFonts w:hint="eastAsia" w:ascii="宋体" w:hAnsi="宋体" w:eastAsia="宋体"/>
          <w:color w:val="auto"/>
          <w:szCs w:val="21"/>
        </w:rPr>
      </w:pPr>
    </w:p>
    <w:p w14:paraId="0ED0FC17">
      <w:pPr>
        <w:spacing w:before="8" w:line="360" w:lineRule="auto"/>
        <w:rPr>
          <w:rFonts w:hint="eastAsia" w:ascii="宋体" w:hAnsi="宋体" w:eastAsia="宋体"/>
          <w:color w:val="auto"/>
          <w:szCs w:val="21"/>
        </w:rPr>
      </w:pPr>
    </w:p>
    <w:p w14:paraId="0263ABEA">
      <w:pPr>
        <w:spacing w:before="7" w:line="360" w:lineRule="auto"/>
        <w:rPr>
          <w:rFonts w:hint="eastAsia" w:ascii="宋体" w:hAnsi="宋体" w:eastAsia="宋体"/>
          <w:color w:val="auto"/>
          <w:szCs w:val="21"/>
        </w:rPr>
      </w:pPr>
      <w:r>
        <w:rPr>
          <w:rFonts w:ascii="宋体" w:hAnsi="宋体" w:eastAsia="宋体"/>
          <w:color w:val="auto"/>
          <w:szCs w:val="21"/>
        </w:rPr>
        <w:t>双方代表：</w:t>
      </w:r>
    </w:p>
    <w:p w14:paraId="44C6F444">
      <w:pPr>
        <w:spacing w:before="7" w:line="360" w:lineRule="auto"/>
        <w:rPr>
          <w:rFonts w:hint="eastAsia" w:ascii="宋体" w:hAnsi="宋体" w:eastAsia="宋体"/>
          <w:color w:val="auto"/>
          <w:szCs w:val="21"/>
        </w:rPr>
      </w:pPr>
    </w:p>
    <w:p w14:paraId="1F95C0C1">
      <w:pPr>
        <w:spacing w:before="7" w:line="360" w:lineRule="auto"/>
        <w:rPr>
          <w:rFonts w:hint="eastAsia" w:ascii="宋体" w:hAnsi="宋体" w:eastAsia="宋体"/>
          <w:color w:val="auto"/>
          <w:szCs w:val="21"/>
        </w:rPr>
      </w:pPr>
    </w:p>
    <w:p w14:paraId="4F1073BE">
      <w:pPr>
        <w:spacing w:before="7" w:line="360" w:lineRule="auto"/>
        <w:rPr>
          <w:rFonts w:hint="eastAsia" w:ascii="宋体" w:hAnsi="宋体" w:eastAsia="宋体"/>
          <w:color w:val="auto"/>
          <w:szCs w:val="21"/>
        </w:rPr>
      </w:pPr>
      <w:r>
        <w:rPr>
          <w:rFonts w:hint="eastAsia" w:ascii="宋体" w:hAnsi="宋体" w:eastAsia="宋体"/>
          <w:color w:val="auto"/>
          <w:szCs w:val="21"/>
        </w:rPr>
        <w:t>甲方：</w:t>
      </w:r>
      <w:r>
        <w:rPr>
          <w:rFonts w:hint="eastAsia" w:ascii="宋体" w:hAnsi="宋体" w:eastAsia="宋体"/>
          <w:color w:val="auto"/>
          <w:szCs w:val="21"/>
          <w:lang w:eastAsia="zh-CN"/>
        </w:rPr>
        <w:t>贵州联广科技股份有限公司北京分公司</w:t>
      </w:r>
      <w:r>
        <w:rPr>
          <w:rFonts w:hint="eastAsia" w:ascii="宋体" w:hAnsi="宋体" w:eastAsia="宋体"/>
          <w:color w:val="auto"/>
          <w:szCs w:val="21"/>
        </w:rPr>
        <w:t xml:space="preserve">                  乙方：   </w:t>
      </w:r>
    </w:p>
    <w:p w14:paraId="453532BD">
      <w:pPr>
        <w:spacing w:before="7" w:line="360" w:lineRule="auto"/>
        <w:rPr>
          <w:rFonts w:hint="eastAsia" w:ascii="宋体" w:hAnsi="宋体" w:eastAsia="宋体"/>
          <w:color w:val="auto"/>
          <w:szCs w:val="21"/>
        </w:rPr>
      </w:pPr>
    </w:p>
    <w:p w14:paraId="24E85A06">
      <w:pPr>
        <w:spacing w:before="7" w:line="360" w:lineRule="auto"/>
        <w:rPr>
          <w:rFonts w:hint="eastAsia" w:ascii="宋体" w:hAnsi="宋体" w:eastAsia="宋体"/>
          <w:color w:val="auto"/>
          <w:szCs w:val="21"/>
        </w:rPr>
      </w:pPr>
    </w:p>
    <w:p w14:paraId="00D25819">
      <w:pPr>
        <w:spacing w:before="7" w:line="360" w:lineRule="auto"/>
        <w:ind w:firstLine="210" w:firstLineChars="100"/>
        <w:rPr>
          <w:rFonts w:hint="eastAsia" w:ascii="宋体" w:hAnsi="宋体" w:eastAsia="宋体"/>
          <w:color w:val="auto"/>
          <w:szCs w:val="21"/>
        </w:rPr>
      </w:pPr>
      <w:r>
        <w:rPr>
          <w:rFonts w:hint="eastAsia" w:ascii="宋体" w:hAnsi="宋体" w:eastAsia="宋体"/>
          <w:color w:val="auto"/>
          <w:szCs w:val="21"/>
        </w:rPr>
        <w:t>客户代表：                                     经销商代表：</w:t>
      </w:r>
    </w:p>
    <w:p w14:paraId="208A683D">
      <w:pPr>
        <w:spacing w:before="7" w:line="360" w:lineRule="auto"/>
        <w:rPr>
          <w:rFonts w:hint="eastAsia" w:ascii="宋体" w:hAnsi="宋体" w:eastAsia="宋体"/>
          <w:color w:val="auto"/>
          <w:szCs w:val="21"/>
        </w:rPr>
      </w:pPr>
      <w:r>
        <w:rPr>
          <w:rFonts w:hint="eastAsia" w:ascii="宋体" w:hAnsi="宋体" w:eastAsia="宋体"/>
          <w:color w:val="auto"/>
          <w:szCs w:val="21"/>
        </w:rPr>
        <w:t>（签字盖章）：                                   （签字盖章）：</w:t>
      </w:r>
    </w:p>
    <w:p w14:paraId="78CDA5A1">
      <w:pPr>
        <w:spacing w:before="7" w:line="360" w:lineRule="auto"/>
        <w:rPr>
          <w:rFonts w:hint="eastAsia" w:ascii="宋体" w:hAnsi="宋体" w:eastAsia="宋体"/>
          <w:color w:val="auto"/>
          <w:szCs w:val="21"/>
        </w:rPr>
      </w:pPr>
    </w:p>
    <w:p w14:paraId="0458030C">
      <w:pPr>
        <w:spacing w:before="7" w:line="360" w:lineRule="auto"/>
        <w:rPr>
          <w:rFonts w:hint="eastAsia" w:ascii="宋体" w:hAnsi="宋体" w:eastAsia="宋体"/>
          <w:color w:val="auto"/>
          <w:szCs w:val="21"/>
        </w:rPr>
      </w:pPr>
    </w:p>
    <w:p w14:paraId="3F798E4B">
      <w:pPr>
        <w:spacing w:before="7" w:line="360" w:lineRule="auto"/>
        <w:ind w:firstLine="420" w:firstLineChars="200"/>
        <w:rPr>
          <w:rFonts w:hint="eastAsia" w:ascii="宋体" w:hAnsi="宋体" w:eastAsia="宋体"/>
          <w:color w:val="auto"/>
          <w:szCs w:val="21"/>
        </w:rPr>
      </w:pPr>
      <w:r>
        <w:rPr>
          <w:rFonts w:hint="eastAsia" w:ascii="宋体" w:hAnsi="宋体" w:eastAsia="宋体"/>
          <w:color w:val="auto"/>
          <w:szCs w:val="21"/>
        </w:rPr>
        <w:t>日期：                                          日期：</w:t>
      </w:r>
    </w:p>
    <w:p w14:paraId="3554B028">
      <w:pPr>
        <w:spacing w:line="360" w:lineRule="auto"/>
        <w:rPr>
          <w:rFonts w:hint="eastAsia" w:ascii="宋体" w:hAnsi="宋体" w:eastAsia="宋体"/>
          <w:color w:val="auto"/>
          <w:szCs w:val="21"/>
        </w:rPr>
      </w:pPr>
    </w:p>
    <w:p w14:paraId="2114C58F">
      <w:pPr>
        <w:widowControl/>
        <w:spacing w:line="240" w:lineRule="auto"/>
        <w:jc w:val="left"/>
        <w:rPr>
          <w:rFonts w:hint="eastAsia"/>
          <w:color w:val="auto"/>
        </w:rPr>
      </w:pPr>
    </w:p>
    <w:sectPr>
      <w:pgSz w:w="11906" w:h="16838"/>
      <w:pgMar w:top="1418" w:right="1701" w:bottom="1418" w:left="170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宋体-简">
    <w:altName w:val="宋体"/>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宋体-方正超大字符集">
    <w:altName w:val="宋体"/>
    <w:panose1 w:val="00000000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484D6">
    <w:pPr>
      <w:pStyle w:val="9"/>
      <w:rPr>
        <w:rFonts w:hint="eastAsia" w:eastAsiaTheme="minorHAnsi"/>
        <w:w w:val="90"/>
        <w:sz w:val="22"/>
        <w:szCs w:val="28"/>
      </w:rPr>
    </w:pPr>
    <w:r>
      <w:rPr>
        <w:rFonts w:hint="eastAsia" w:eastAsiaTheme="minorHAnsi"/>
        <w:w w:val="90"/>
        <w:sz w:val="22"/>
        <w:szCs w:val="28"/>
      </w:rPr>
      <w:t xml:space="preserve">                                      </w:t>
    </w:r>
  </w:p>
  <w:p w14:paraId="27AEE4D9">
    <w:pPr>
      <w:pStyle w:val="9"/>
      <w:pBdr>
        <w:top w:val="single" w:color="A5A5A5" w:themeColor="accent3" w:sz="24" w:space="5"/>
      </w:pBdr>
      <w:rPr>
        <w:rFonts w:hint="eastAsia"/>
        <w:i/>
        <w:iCs/>
        <w:color w:val="8C8C8C" w:themeColor="background1" w:themeShade="8C"/>
      </w:rPr>
    </w:pPr>
    <w:sdt>
      <w:sdtPr>
        <w:rPr>
          <w:rFonts w:eastAsiaTheme="minorHAnsi"/>
          <w:w w:val="90"/>
          <w:sz w:val="22"/>
          <w:szCs w:val="28"/>
        </w:rPr>
        <w:alias w:val="公司"/>
        <w:id w:val="270665196"/>
        <w:placeholder>
          <w:docPart w:val="2B7E7F29FD1B4C17A37E1A0173F3A37C"/>
        </w:placeholder>
        <w:text/>
      </w:sdtPr>
      <w:sdtEndPr>
        <w:rPr>
          <w:rFonts w:eastAsiaTheme="minorHAnsi"/>
          <w:w w:val="90"/>
          <w:sz w:val="22"/>
          <w:szCs w:val="28"/>
        </w:rPr>
      </w:sdtEndPr>
      <w:sdtContent>
        <w:r>
          <w:rPr>
            <w:rFonts w:hint="eastAsia" w:eastAsiaTheme="minorHAnsi"/>
            <w:w w:val="90"/>
            <w:sz w:val="22"/>
            <w:szCs w:val="28"/>
            <w:lang w:eastAsia="zh-CN"/>
          </w:rPr>
          <w:t>贵州联广科技股份有限公司北京分公司</w:t>
        </w:r>
      </w:sdtContent>
    </w:sdt>
  </w:p>
  <w:p w14:paraId="7AA6038E">
    <w:pPr>
      <w:pStyle w:val="9"/>
      <w:rPr>
        <w:rFonts w:hint="eastAsia" w:eastAsiaTheme="minorHAnsi"/>
        <w:w w:val="90"/>
        <w:sz w:val="21"/>
        <w:szCs w:val="21"/>
      </w:rPr>
    </w:pPr>
    <w:r>
      <w:rPr>
        <w:rFonts w:eastAsiaTheme="minorHAnsi"/>
        <w:w w:val="90"/>
        <w:sz w:val="21"/>
        <w:szCs w:val="21"/>
      </w:rPr>
      <w:t xml:space="preserve">Guizhou Brodata Technology Co.,Ltd.                                         </w:t>
    </w:r>
    <w:r>
      <w:rPr>
        <w:rFonts w:hint="eastAsia" w:eastAsiaTheme="minorHAnsi"/>
        <w:i/>
        <w:w w:val="90"/>
        <w:sz w:val="21"/>
        <w:szCs w:val="21"/>
      </w:rPr>
      <w:t>第</w:t>
    </w:r>
    <w:r>
      <w:rPr>
        <w:rFonts w:eastAsiaTheme="minorHAnsi"/>
        <w:i/>
        <w:w w:val="90"/>
        <w:sz w:val="21"/>
        <w:szCs w:val="21"/>
      </w:rPr>
      <w:fldChar w:fldCharType="begin"/>
    </w:r>
    <w:r>
      <w:rPr>
        <w:rFonts w:eastAsiaTheme="minorHAnsi"/>
        <w:i/>
        <w:w w:val="90"/>
        <w:sz w:val="21"/>
        <w:szCs w:val="21"/>
      </w:rPr>
      <w:instrText xml:space="preserve"> PAGE   \* MERGEFORMAT </w:instrText>
    </w:r>
    <w:r>
      <w:rPr>
        <w:rFonts w:eastAsiaTheme="minorHAnsi"/>
        <w:i/>
        <w:w w:val="90"/>
        <w:sz w:val="21"/>
        <w:szCs w:val="21"/>
      </w:rPr>
      <w:fldChar w:fldCharType="separate"/>
    </w:r>
    <w:r>
      <w:rPr>
        <w:rFonts w:eastAsiaTheme="minorHAnsi"/>
        <w:i/>
        <w:w w:val="90"/>
        <w:sz w:val="21"/>
        <w:szCs w:val="21"/>
      </w:rPr>
      <w:t>2</w:t>
    </w:r>
    <w:r>
      <w:rPr>
        <w:rFonts w:eastAsiaTheme="minorHAnsi"/>
        <w:i/>
        <w:w w:val="90"/>
        <w:sz w:val="21"/>
        <w:szCs w:val="21"/>
      </w:rPr>
      <w:fldChar w:fldCharType="end"/>
    </w:r>
    <w:r>
      <w:rPr>
        <w:rFonts w:hint="eastAsia" w:eastAsiaTheme="minorHAnsi"/>
        <w:i/>
        <w:w w:val="90"/>
        <w:sz w:val="21"/>
        <w:szCs w:val="21"/>
      </w:rPr>
      <w:t>页</w:t>
    </w:r>
    <w:r>
      <w:rPr>
        <w:rFonts w:eastAsiaTheme="minorHAnsi"/>
        <w:i/>
        <w:w w:val="90"/>
        <w:sz w:val="21"/>
        <w:szCs w:val="21"/>
      </w:rPr>
      <w:t>/共</w:t>
    </w:r>
    <w:r>
      <w:fldChar w:fldCharType="begin"/>
    </w:r>
    <w:r>
      <w:instrText xml:space="preserve"> NUMPAGES   \* MERGEFORMAT </w:instrText>
    </w:r>
    <w:r>
      <w:fldChar w:fldCharType="separate"/>
    </w:r>
    <w:r>
      <w:rPr>
        <w:rFonts w:eastAsiaTheme="minorHAnsi"/>
        <w:i/>
        <w:w w:val="90"/>
        <w:sz w:val="21"/>
        <w:szCs w:val="21"/>
      </w:rPr>
      <w:t>12</w:t>
    </w:r>
    <w:r>
      <w:rPr>
        <w:rFonts w:eastAsiaTheme="minorHAnsi"/>
        <w:i/>
        <w:w w:val="90"/>
        <w:sz w:val="21"/>
        <w:szCs w:val="21"/>
      </w:rPr>
      <w:fldChar w:fldCharType="end"/>
    </w:r>
    <w:r>
      <w:rPr>
        <w:rFonts w:hint="eastAsia" w:eastAsiaTheme="minorHAnsi"/>
        <w:i/>
        <w:w w:val="90"/>
        <w:sz w:val="21"/>
        <w:szCs w:val="21"/>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7F03E">
    <w:pPr>
      <w:pStyle w:val="10"/>
      <w:jc w:val="left"/>
      <w:rPr>
        <w:rFonts w:hint="eastAsia"/>
      </w:rPr>
    </w:pPr>
    <w:r>
      <w:rPr>
        <w:rFonts w:hint="eastAsia"/>
      </w:rPr>
      <w:drawing>
        <wp:inline distT="0" distB="0" distL="0" distR="0">
          <wp:extent cx="950595" cy="330200"/>
          <wp:effectExtent l="0" t="0" r="0" b="0"/>
          <wp:docPr id="1656565729" name="图片 1656565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565729" name="图片 165656572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963609" cy="334539"/>
                  </a:xfrm>
                  <a:prstGeom prst="rect">
                    <a:avLst/>
                  </a:prstGeom>
                </pic:spPr>
              </pic:pic>
            </a:graphicData>
          </a:graphic>
        </wp:inline>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5F78E2"/>
    <w:multiLevelType w:val="multilevel"/>
    <w:tmpl w:val="255F78E2"/>
    <w:lvl w:ilvl="0" w:tentative="0">
      <w:start w:val="1"/>
      <w:numFmt w:val="japaneseCounting"/>
      <w:lvlText w:val="%1、"/>
      <w:lvlJc w:val="left"/>
      <w:pPr>
        <w:tabs>
          <w:tab w:val="left" w:pos="720"/>
        </w:tabs>
        <w:ind w:left="720" w:hanging="720"/>
      </w:pPr>
      <w:rPr>
        <w:rFonts w:hint="default"/>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30E"/>
    <w:rsid w:val="00000391"/>
    <w:rsid w:val="00027724"/>
    <w:rsid w:val="00050C72"/>
    <w:rsid w:val="00053780"/>
    <w:rsid w:val="000625DC"/>
    <w:rsid w:val="00066594"/>
    <w:rsid w:val="0007405C"/>
    <w:rsid w:val="000752AF"/>
    <w:rsid w:val="00082A66"/>
    <w:rsid w:val="00095472"/>
    <w:rsid w:val="000A6989"/>
    <w:rsid w:val="000B1752"/>
    <w:rsid w:val="000B21B8"/>
    <w:rsid w:val="000D08BB"/>
    <w:rsid w:val="000D184A"/>
    <w:rsid w:val="000D425E"/>
    <w:rsid w:val="000E3AF2"/>
    <w:rsid w:val="001018D0"/>
    <w:rsid w:val="001110CE"/>
    <w:rsid w:val="00111E54"/>
    <w:rsid w:val="001221F4"/>
    <w:rsid w:val="001243E2"/>
    <w:rsid w:val="001332B2"/>
    <w:rsid w:val="00140CE1"/>
    <w:rsid w:val="00145F1C"/>
    <w:rsid w:val="001570AF"/>
    <w:rsid w:val="0016647D"/>
    <w:rsid w:val="00166EBA"/>
    <w:rsid w:val="001755BF"/>
    <w:rsid w:val="00186C05"/>
    <w:rsid w:val="00192AD4"/>
    <w:rsid w:val="001A0899"/>
    <w:rsid w:val="001A43D6"/>
    <w:rsid w:val="001C0FC7"/>
    <w:rsid w:val="001E698E"/>
    <w:rsid w:val="001F0564"/>
    <w:rsid w:val="001F1DC4"/>
    <w:rsid w:val="001F6D2B"/>
    <w:rsid w:val="00201C73"/>
    <w:rsid w:val="00204B24"/>
    <w:rsid w:val="00207702"/>
    <w:rsid w:val="0022113E"/>
    <w:rsid w:val="00236BE9"/>
    <w:rsid w:val="00237646"/>
    <w:rsid w:val="00241053"/>
    <w:rsid w:val="0024498F"/>
    <w:rsid w:val="002478E4"/>
    <w:rsid w:val="00247DA7"/>
    <w:rsid w:val="002569BA"/>
    <w:rsid w:val="002830C6"/>
    <w:rsid w:val="00284D93"/>
    <w:rsid w:val="002879B3"/>
    <w:rsid w:val="00291798"/>
    <w:rsid w:val="00297DD9"/>
    <w:rsid w:val="002C27AB"/>
    <w:rsid w:val="002C419E"/>
    <w:rsid w:val="002E05E0"/>
    <w:rsid w:val="002E214E"/>
    <w:rsid w:val="002F448D"/>
    <w:rsid w:val="0030446D"/>
    <w:rsid w:val="00311F33"/>
    <w:rsid w:val="003264DD"/>
    <w:rsid w:val="0033305D"/>
    <w:rsid w:val="00356402"/>
    <w:rsid w:val="00360E98"/>
    <w:rsid w:val="0036128F"/>
    <w:rsid w:val="003627A8"/>
    <w:rsid w:val="003671E1"/>
    <w:rsid w:val="00370F8F"/>
    <w:rsid w:val="0037647B"/>
    <w:rsid w:val="00385C82"/>
    <w:rsid w:val="003965A9"/>
    <w:rsid w:val="003B0DA4"/>
    <w:rsid w:val="003C765E"/>
    <w:rsid w:val="003D75EF"/>
    <w:rsid w:val="00412B77"/>
    <w:rsid w:val="00413A2D"/>
    <w:rsid w:val="00416C3A"/>
    <w:rsid w:val="004304F9"/>
    <w:rsid w:val="00430FDD"/>
    <w:rsid w:val="00435A95"/>
    <w:rsid w:val="00445A01"/>
    <w:rsid w:val="00447EFB"/>
    <w:rsid w:val="00450DE3"/>
    <w:rsid w:val="00464F32"/>
    <w:rsid w:val="004768BD"/>
    <w:rsid w:val="00476BE2"/>
    <w:rsid w:val="00483307"/>
    <w:rsid w:val="004970FF"/>
    <w:rsid w:val="004A6C49"/>
    <w:rsid w:val="004A7AA8"/>
    <w:rsid w:val="004C3B82"/>
    <w:rsid w:val="004C4A46"/>
    <w:rsid w:val="004D34AF"/>
    <w:rsid w:val="004D4749"/>
    <w:rsid w:val="004D7718"/>
    <w:rsid w:val="004E5F11"/>
    <w:rsid w:val="004F7A9B"/>
    <w:rsid w:val="00505814"/>
    <w:rsid w:val="00551969"/>
    <w:rsid w:val="00570FDE"/>
    <w:rsid w:val="005764BF"/>
    <w:rsid w:val="00597DD3"/>
    <w:rsid w:val="005B1CD1"/>
    <w:rsid w:val="005B44C3"/>
    <w:rsid w:val="005B553B"/>
    <w:rsid w:val="005D4EC2"/>
    <w:rsid w:val="005E26DA"/>
    <w:rsid w:val="005E338C"/>
    <w:rsid w:val="005E6224"/>
    <w:rsid w:val="00600241"/>
    <w:rsid w:val="00600E8B"/>
    <w:rsid w:val="00605162"/>
    <w:rsid w:val="006054D6"/>
    <w:rsid w:val="0062215D"/>
    <w:rsid w:val="00636DA3"/>
    <w:rsid w:val="006448CB"/>
    <w:rsid w:val="0065278C"/>
    <w:rsid w:val="00654004"/>
    <w:rsid w:val="006818F9"/>
    <w:rsid w:val="0069255A"/>
    <w:rsid w:val="006B2925"/>
    <w:rsid w:val="006B7A97"/>
    <w:rsid w:val="006C24FA"/>
    <w:rsid w:val="006C4C57"/>
    <w:rsid w:val="006F6691"/>
    <w:rsid w:val="0070163B"/>
    <w:rsid w:val="00712635"/>
    <w:rsid w:val="007239FD"/>
    <w:rsid w:val="0072750C"/>
    <w:rsid w:val="00730C6F"/>
    <w:rsid w:val="00736344"/>
    <w:rsid w:val="007409AE"/>
    <w:rsid w:val="00742E65"/>
    <w:rsid w:val="00751231"/>
    <w:rsid w:val="007517EC"/>
    <w:rsid w:val="0076170E"/>
    <w:rsid w:val="007617C8"/>
    <w:rsid w:val="007627BA"/>
    <w:rsid w:val="0076333A"/>
    <w:rsid w:val="00777992"/>
    <w:rsid w:val="00784688"/>
    <w:rsid w:val="00790D89"/>
    <w:rsid w:val="007A177F"/>
    <w:rsid w:val="007B1008"/>
    <w:rsid w:val="007C2159"/>
    <w:rsid w:val="007C6A72"/>
    <w:rsid w:val="007F2BB3"/>
    <w:rsid w:val="00801A07"/>
    <w:rsid w:val="00801A0D"/>
    <w:rsid w:val="00821A28"/>
    <w:rsid w:val="00821BBA"/>
    <w:rsid w:val="0084372B"/>
    <w:rsid w:val="00845B29"/>
    <w:rsid w:val="00850591"/>
    <w:rsid w:val="00871F1A"/>
    <w:rsid w:val="008863A7"/>
    <w:rsid w:val="00886F57"/>
    <w:rsid w:val="0089546B"/>
    <w:rsid w:val="008B430E"/>
    <w:rsid w:val="008B5ED4"/>
    <w:rsid w:val="008B62C2"/>
    <w:rsid w:val="008B68F7"/>
    <w:rsid w:val="008C4F3D"/>
    <w:rsid w:val="008C4F7C"/>
    <w:rsid w:val="008C5E21"/>
    <w:rsid w:val="008D02A3"/>
    <w:rsid w:val="008D2032"/>
    <w:rsid w:val="008D310D"/>
    <w:rsid w:val="008D4EA4"/>
    <w:rsid w:val="008F07A4"/>
    <w:rsid w:val="008F6320"/>
    <w:rsid w:val="00915377"/>
    <w:rsid w:val="009168CA"/>
    <w:rsid w:val="00940C30"/>
    <w:rsid w:val="009827A7"/>
    <w:rsid w:val="009835DD"/>
    <w:rsid w:val="00985E52"/>
    <w:rsid w:val="00990F47"/>
    <w:rsid w:val="00994D84"/>
    <w:rsid w:val="009A479E"/>
    <w:rsid w:val="009B0909"/>
    <w:rsid w:val="009C08B8"/>
    <w:rsid w:val="009D177C"/>
    <w:rsid w:val="009D54AC"/>
    <w:rsid w:val="009E5C2D"/>
    <w:rsid w:val="009F1EC8"/>
    <w:rsid w:val="00A01A5F"/>
    <w:rsid w:val="00A24BCE"/>
    <w:rsid w:val="00A32C16"/>
    <w:rsid w:val="00A37CE9"/>
    <w:rsid w:val="00A57980"/>
    <w:rsid w:val="00A76EE2"/>
    <w:rsid w:val="00A77B01"/>
    <w:rsid w:val="00A8022B"/>
    <w:rsid w:val="00A8488D"/>
    <w:rsid w:val="00A867BB"/>
    <w:rsid w:val="00A93ACE"/>
    <w:rsid w:val="00AB116D"/>
    <w:rsid w:val="00AC1179"/>
    <w:rsid w:val="00AC56D1"/>
    <w:rsid w:val="00AC64C0"/>
    <w:rsid w:val="00AD15E9"/>
    <w:rsid w:val="00AF41D5"/>
    <w:rsid w:val="00AF5ED3"/>
    <w:rsid w:val="00B14B3F"/>
    <w:rsid w:val="00B15A19"/>
    <w:rsid w:val="00B212CF"/>
    <w:rsid w:val="00B26E8E"/>
    <w:rsid w:val="00B27F03"/>
    <w:rsid w:val="00B30EEE"/>
    <w:rsid w:val="00B32DE2"/>
    <w:rsid w:val="00B334FC"/>
    <w:rsid w:val="00B35B3D"/>
    <w:rsid w:val="00B426A3"/>
    <w:rsid w:val="00B71CAB"/>
    <w:rsid w:val="00B779AC"/>
    <w:rsid w:val="00B9702D"/>
    <w:rsid w:val="00BD17B2"/>
    <w:rsid w:val="00BD281D"/>
    <w:rsid w:val="00BD4F32"/>
    <w:rsid w:val="00BE2099"/>
    <w:rsid w:val="00BE5A6D"/>
    <w:rsid w:val="00BF28EF"/>
    <w:rsid w:val="00BF3D06"/>
    <w:rsid w:val="00C05BE3"/>
    <w:rsid w:val="00C07963"/>
    <w:rsid w:val="00C15173"/>
    <w:rsid w:val="00C221A0"/>
    <w:rsid w:val="00C26745"/>
    <w:rsid w:val="00C300D3"/>
    <w:rsid w:val="00C30C0D"/>
    <w:rsid w:val="00C31F86"/>
    <w:rsid w:val="00C367F6"/>
    <w:rsid w:val="00C4016E"/>
    <w:rsid w:val="00C4195D"/>
    <w:rsid w:val="00C44479"/>
    <w:rsid w:val="00C51A28"/>
    <w:rsid w:val="00C522CD"/>
    <w:rsid w:val="00C571D5"/>
    <w:rsid w:val="00C61613"/>
    <w:rsid w:val="00C620A8"/>
    <w:rsid w:val="00C632FE"/>
    <w:rsid w:val="00C650F8"/>
    <w:rsid w:val="00C767AA"/>
    <w:rsid w:val="00C8018B"/>
    <w:rsid w:val="00C925D7"/>
    <w:rsid w:val="00C969AC"/>
    <w:rsid w:val="00C971EE"/>
    <w:rsid w:val="00C9749E"/>
    <w:rsid w:val="00CB1B17"/>
    <w:rsid w:val="00CC48B3"/>
    <w:rsid w:val="00CD6B06"/>
    <w:rsid w:val="00CE1688"/>
    <w:rsid w:val="00CF5B59"/>
    <w:rsid w:val="00D05649"/>
    <w:rsid w:val="00D05B2D"/>
    <w:rsid w:val="00D05B76"/>
    <w:rsid w:val="00D07ACC"/>
    <w:rsid w:val="00D2310E"/>
    <w:rsid w:val="00D35B9A"/>
    <w:rsid w:val="00D460E5"/>
    <w:rsid w:val="00D5081B"/>
    <w:rsid w:val="00D54653"/>
    <w:rsid w:val="00D56627"/>
    <w:rsid w:val="00D81E23"/>
    <w:rsid w:val="00D85856"/>
    <w:rsid w:val="00D97084"/>
    <w:rsid w:val="00DA0201"/>
    <w:rsid w:val="00DB0187"/>
    <w:rsid w:val="00DD5884"/>
    <w:rsid w:val="00DE4632"/>
    <w:rsid w:val="00DF2D6E"/>
    <w:rsid w:val="00E00A34"/>
    <w:rsid w:val="00E00F49"/>
    <w:rsid w:val="00E135DF"/>
    <w:rsid w:val="00E14EF7"/>
    <w:rsid w:val="00E32922"/>
    <w:rsid w:val="00E344D6"/>
    <w:rsid w:val="00E34E55"/>
    <w:rsid w:val="00E607E2"/>
    <w:rsid w:val="00E62220"/>
    <w:rsid w:val="00E91318"/>
    <w:rsid w:val="00EA242D"/>
    <w:rsid w:val="00EA643E"/>
    <w:rsid w:val="00EB044A"/>
    <w:rsid w:val="00EB7D22"/>
    <w:rsid w:val="00EC2BD7"/>
    <w:rsid w:val="00ED33AF"/>
    <w:rsid w:val="00EF2922"/>
    <w:rsid w:val="00EF5BAF"/>
    <w:rsid w:val="00F00EEC"/>
    <w:rsid w:val="00F01831"/>
    <w:rsid w:val="00F31AEB"/>
    <w:rsid w:val="00F345A6"/>
    <w:rsid w:val="00F52511"/>
    <w:rsid w:val="00F7556D"/>
    <w:rsid w:val="00F76F77"/>
    <w:rsid w:val="00F81396"/>
    <w:rsid w:val="00F87723"/>
    <w:rsid w:val="00FC1E2E"/>
    <w:rsid w:val="00FC6701"/>
    <w:rsid w:val="00FE787A"/>
    <w:rsid w:val="04992C8B"/>
    <w:rsid w:val="09935CA2"/>
    <w:rsid w:val="0B266894"/>
    <w:rsid w:val="0F9628BB"/>
    <w:rsid w:val="117D2D56"/>
    <w:rsid w:val="16832BBD"/>
    <w:rsid w:val="2B801F39"/>
    <w:rsid w:val="37C47EB3"/>
    <w:rsid w:val="3FAF6F55"/>
    <w:rsid w:val="3FDFC7C0"/>
    <w:rsid w:val="40B01F51"/>
    <w:rsid w:val="4DB762DC"/>
    <w:rsid w:val="4FCD3C35"/>
    <w:rsid w:val="54FB77E7"/>
    <w:rsid w:val="5BFFD7B6"/>
    <w:rsid w:val="608A2DE2"/>
    <w:rsid w:val="649F665D"/>
    <w:rsid w:val="66F56169"/>
    <w:rsid w:val="6FFFFAC3"/>
    <w:rsid w:val="787FC815"/>
    <w:rsid w:val="7A0B19CB"/>
    <w:rsid w:val="7E105802"/>
    <w:rsid w:val="ACF78DF4"/>
    <w:rsid w:val="AF0F63FD"/>
    <w:rsid w:val="BFBF0C41"/>
    <w:rsid w:val="CF7F4782"/>
    <w:rsid w:val="F6FFB479"/>
    <w:rsid w:val="FBDF21A9"/>
    <w:rsid w:val="FEBFD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3"/>
    <w:semiHidden/>
    <w:unhideWhenUsed/>
    <w:qFormat/>
    <w:uiPriority w:val="99"/>
    <w:pPr>
      <w:jc w:val="left"/>
    </w:pPr>
  </w:style>
  <w:style w:type="paragraph" w:styleId="3">
    <w:name w:val="Body Text"/>
    <w:basedOn w:val="1"/>
    <w:link w:val="33"/>
    <w:unhideWhenUsed/>
    <w:qFormat/>
    <w:uiPriority w:val="99"/>
    <w:pPr>
      <w:spacing w:after="120"/>
    </w:pPr>
  </w:style>
  <w:style w:type="paragraph" w:styleId="4">
    <w:name w:val="Body Text Indent"/>
    <w:basedOn w:val="1"/>
    <w:link w:val="22"/>
    <w:qFormat/>
    <w:uiPriority w:val="0"/>
    <w:pPr>
      <w:spacing w:after="120"/>
      <w:ind w:left="420" w:leftChars="200"/>
    </w:pPr>
    <w:rPr>
      <w:rFonts w:ascii="Times New Roman" w:hAnsi="Times New Roman" w:eastAsia="宋体" w:cs="Times New Roman"/>
      <w:szCs w:val="24"/>
    </w:rPr>
  </w:style>
  <w:style w:type="paragraph" w:styleId="5">
    <w:name w:val="Plain Text"/>
    <w:basedOn w:val="1"/>
    <w:qFormat/>
    <w:uiPriority w:val="0"/>
    <w:rPr>
      <w:rFonts w:ascii="宋体" w:hAnsi="Courier New"/>
      <w:szCs w:val="20"/>
    </w:rPr>
  </w:style>
  <w:style w:type="paragraph" w:styleId="6">
    <w:name w:val="Date"/>
    <w:basedOn w:val="1"/>
    <w:next w:val="1"/>
    <w:link w:val="19"/>
    <w:unhideWhenUsed/>
    <w:qFormat/>
    <w:uiPriority w:val="99"/>
    <w:pPr>
      <w:ind w:left="100" w:leftChars="2500"/>
    </w:pPr>
  </w:style>
  <w:style w:type="paragraph" w:styleId="7">
    <w:name w:val="Body Text Indent 2"/>
    <w:basedOn w:val="1"/>
    <w:qFormat/>
    <w:uiPriority w:val="99"/>
    <w:pPr>
      <w:spacing w:line="360" w:lineRule="auto"/>
      <w:ind w:firstLine="570"/>
    </w:pPr>
    <w:rPr>
      <w:sz w:val="24"/>
    </w:rPr>
  </w:style>
  <w:style w:type="paragraph" w:styleId="8">
    <w:name w:val="Balloon Text"/>
    <w:basedOn w:val="1"/>
    <w:link w:val="18"/>
    <w:semiHidden/>
    <w:unhideWhenUsed/>
    <w:qFormat/>
    <w:uiPriority w:val="99"/>
    <w:rPr>
      <w:sz w:val="18"/>
      <w:szCs w:val="18"/>
    </w:rPr>
  </w:style>
  <w:style w:type="paragraph" w:styleId="9">
    <w:name w:val="footer"/>
    <w:basedOn w:val="1"/>
    <w:link w:val="17"/>
    <w:unhideWhenUsed/>
    <w:qFormat/>
    <w:uiPriority w:val="99"/>
    <w:pPr>
      <w:tabs>
        <w:tab w:val="center" w:pos="4153"/>
        <w:tab w:val="right" w:pos="8306"/>
      </w:tabs>
      <w:snapToGrid w:val="0"/>
      <w:jc w:val="left"/>
    </w:pPr>
    <w:rPr>
      <w:sz w:val="18"/>
      <w:szCs w:val="18"/>
    </w:rPr>
  </w:style>
  <w:style w:type="paragraph" w:styleId="10">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annotation subject"/>
    <w:basedOn w:val="2"/>
    <w:next w:val="2"/>
    <w:link w:val="24"/>
    <w:semiHidden/>
    <w:unhideWhenUsed/>
    <w:qFormat/>
    <w:uiPriority w:val="99"/>
    <w:rPr>
      <w:b/>
      <w:bCs/>
    </w:rPr>
  </w:style>
  <w:style w:type="character" w:styleId="14">
    <w:name w:val="Hyperlink"/>
    <w:basedOn w:val="13"/>
    <w:semiHidden/>
    <w:unhideWhenUsed/>
    <w:qFormat/>
    <w:uiPriority w:val="99"/>
    <w:rPr>
      <w:color w:val="0000FF"/>
      <w:u w:val="single"/>
    </w:rPr>
  </w:style>
  <w:style w:type="character" w:styleId="15">
    <w:name w:val="annotation reference"/>
    <w:basedOn w:val="13"/>
    <w:semiHidden/>
    <w:unhideWhenUsed/>
    <w:qFormat/>
    <w:uiPriority w:val="99"/>
    <w:rPr>
      <w:sz w:val="21"/>
      <w:szCs w:val="21"/>
    </w:rPr>
  </w:style>
  <w:style w:type="character" w:customStyle="1" w:styleId="16">
    <w:name w:val="页眉 字符"/>
    <w:basedOn w:val="13"/>
    <w:link w:val="10"/>
    <w:qFormat/>
    <w:uiPriority w:val="99"/>
    <w:rPr>
      <w:sz w:val="18"/>
      <w:szCs w:val="18"/>
    </w:rPr>
  </w:style>
  <w:style w:type="character" w:customStyle="1" w:styleId="17">
    <w:name w:val="页脚 字符"/>
    <w:basedOn w:val="13"/>
    <w:link w:val="9"/>
    <w:qFormat/>
    <w:uiPriority w:val="99"/>
    <w:rPr>
      <w:sz w:val="18"/>
      <w:szCs w:val="18"/>
    </w:rPr>
  </w:style>
  <w:style w:type="character" w:customStyle="1" w:styleId="18">
    <w:name w:val="批注框文本 字符"/>
    <w:basedOn w:val="13"/>
    <w:link w:val="8"/>
    <w:semiHidden/>
    <w:qFormat/>
    <w:uiPriority w:val="99"/>
    <w:rPr>
      <w:sz w:val="18"/>
      <w:szCs w:val="18"/>
    </w:rPr>
  </w:style>
  <w:style w:type="character" w:customStyle="1" w:styleId="19">
    <w:name w:val="日期 字符"/>
    <w:basedOn w:val="13"/>
    <w:link w:val="6"/>
    <w:qFormat/>
    <w:uiPriority w:val="99"/>
  </w:style>
  <w:style w:type="paragraph" w:customStyle="1" w:styleId="20">
    <w:name w:val="缺省文本"/>
    <w:basedOn w:val="1"/>
    <w:qFormat/>
    <w:uiPriority w:val="0"/>
    <w:pPr>
      <w:autoSpaceDE w:val="0"/>
      <w:autoSpaceDN w:val="0"/>
      <w:adjustRightInd w:val="0"/>
      <w:jc w:val="left"/>
    </w:pPr>
    <w:rPr>
      <w:rFonts w:ascii="Times New Roman" w:hAnsi="Times New Roman" w:eastAsia="宋体" w:cs="Times New Roman"/>
      <w:kern w:val="0"/>
      <w:sz w:val="24"/>
      <w:szCs w:val="20"/>
    </w:rPr>
  </w:style>
  <w:style w:type="paragraph" w:customStyle="1" w:styleId="21">
    <w:name w:val="正文00"/>
    <w:basedOn w:val="1"/>
    <w:qFormat/>
    <w:uiPriority w:val="0"/>
    <w:pPr>
      <w:topLinePunct/>
      <w:spacing w:line="360" w:lineRule="auto"/>
      <w:ind w:firstLine="200" w:firstLineChars="200"/>
    </w:pPr>
    <w:rPr>
      <w:rFonts w:ascii="Times New Roman" w:hAnsi="Times New Roman" w:eastAsia="宋体" w:cs="Times New Roman"/>
      <w:sz w:val="24"/>
      <w:szCs w:val="21"/>
    </w:rPr>
  </w:style>
  <w:style w:type="character" w:customStyle="1" w:styleId="22">
    <w:name w:val="正文文本缩进 字符"/>
    <w:basedOn w:val="13"/>
    <w:link w:val="4"/>
    <w:qFormat/>
    <w:uiPriority w:val="0"/>
    <w:rPr>
      <w:rFonts w:ascii="Times New Roman" w:hAnsi="Times New Roman" w:eastAsia="宋体" w:cs="Times New Roman"/>
      <w:szCs w:val="24"/>
    </w:rPr>
  </w:style>
  <w:style w:type="character" w:customStyle="1" w:styleId="23">
    <w:name w:val="批注文字 字符"/>
    <w:basedOn w:val="13"/>
    <w:link w:val="2"/>
    <w:semiHidden/>
    <w:qFormat/>
    <w:uiPriority w:val="99"/>
  </w:style>
  <w:style w:type="character" w:customStyle="1" w:styleId="24">
    <w:name w:val="批注主题 字符"/>
    <w:basedOn w:val="23"/>
    <w:link w:val="11"/>
    <w:semiHidden/>
    <w:qFormat/>
    <w:uiPriority w:val="99"/>
    <w:rPr>
      <w:b/>
      <w:bCs/>
    </w:rPr>
  </w:style>
  <w:style w:type="character" w:customStyle="1" w:styleId="25">
    <w:name w:val="apple-converted-space"/>
    <w:basedOn w:val="13"/>
    <w:qFormat/>
    <w:uiPriority w:val="0"/>
  </w:style>
  <w:style w:type="paragraph" w:customStyle="1" w:styleId="26">
    <w:name w:val="a"/>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
    <w:name w:val="修订1"/>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28">
    <w:name w:val="font101"/>
    <w:basedOn w:val="13"/>
    <w:qFormat/>
    <w:uiPriority w:val="0"/>
    <w:rPr>
      <w:rFonts w:hint="default" w:ascii="Arial" w:hAnsi="Arial" w:cs="Arial"/>
      <w:color w:val="000000"/>
      <w:sz w:val="20"/>
      <w:szCs w:val="20"/>
      <w:u w:val="none"/>
    </w:rPr>
  </w:style>
  <w:style w:type="character" w:customStyle="1" w:styleId="29">
    <w:name w:val="font21"/>
    <w:basedOn w:val="13"/>
    <w:qFormat/>
    <w:uiPriority w:val="0"/>
    <w:rPr>
      <w:rFonts w:hint="eastAsia" w:ascii="宋体-简" w:hAnsi="宋体-简" w:eastAsia="宋体-简" w:cs="宋体-简"/>
      <w:color w:val="000000"/>
      <w:sz w:val="20"/>
      <w:szCs w:val="20"/>
      <w:u w:val="none"/>
    </w:rPr>
  </w:style>
  <w:style w:type="paragraph" w:customStyle="1" w:styleId="30">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1">
    <w:name w:val="修订3"/>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2">
    <w:name w:val="Revision"/>
    <w:hidden/>
    <w:unhideWhenUsed/>
    <w:uiPriority w:val="99"/>
    <w:rPr>
      <w:rFonts w:asciiTheme="minorHAnsi" w:hAnsiTheme="minorHAnsi" w:eastAsiaTheme="minorEastAsia" w:cstheme="minorBidi"/>
      <w:kern w:val="2"/>
      <w:sz w:val="21"/>
      <w:szCs w:val="22"/>
      <w:lang w:val="en-US" w:eastAsia="zh-CN" w:bidi="ar-SA"/>
    </w:rPr>
  </w:style>
  <w:style w:type="character" w:customStyle="1" w:styleId="33">
    <w:name w:val="正文文本 字符"/>
    <w:basedOn w:val="13"/>
    <w:link w:val="3"/>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B7E7F29FD1B4C17A37E1A0173F3A37C"/>
        <w:style w:val=""/>
        <w:category>
          <w:name w:val="常规"/>
          <w:gallery w:val="placeholder"/>
        </w:category>
        <w:types>
          <w:type w:val="bbPlcHdr"/>
        </w:types>
        <w:behaviors>
          <w:behavior w:val="content"/>
        </w:behaviors>
        <w:description w:val=""/>
        <w:guid w:val="{0A2C81E6-D8B0-4585-A86D-92E25C971EE3}"/>
      </w:docPartPr>
      <w:docPartBody>
        <w:p w14:paraId="3E7245C9">
          <w:pPr>
            <w:pStyle w:val="4"/>
            <w:rPr>
              <w:rFonts w:hint="eastAsia"/>
            </w:rPr>
          </w:pPr>
          <w:r>
            <w:rPr>
              <w:i/>
              <w:iCs/>
              <w:color w:val="8C8C8C" w:themeColor="background1" w:themeShade="8C"/>
              <w:lang w:val="zh-CN"/>
            </w:rPr>
            <w:t>[键入公司名称]</w:t>
          </w:r>
        </w:p>
      </w:docPartBody>
    </w:docPart>
    <w:docPart>
      <w:docPartPr>
        <w:name w:val="FC54368087D14E37B18870051DA26601"/>
        <w:style w:val=""/>
        <w:category>
          <w:name w:val="常规"/>
          <w:gallery w:val="placeholder"/>
        </w:category>
        <w:types>
          <w:type w:val="bbPlcHdr"/>
        </w:types>
        <w:behaviors>
          <w:behavior w:val="content"/>
        </w:behaviors>
        <w:description w:val=""/>
        <w:guid w:val="{28C129E6-8E04-4BFA-A80A-5AF786FF2D42}"/>
      </w:docPartPr>
      <w:docPartBody>
        <w:p w14:paraId="38634B17">
          <w:pPr>
            <w:pStyle w:val="5"/>
            <w:rPr>
              <w:rFonts w:hint="eastAsia"/>
            </w:rPr>
          </w:pPr>
          <w:r>
            <w:rPr>
              <w:i/>
              <w:iCs/>
              <w:color w:val="8C8C8C" w:themeColor="background1" w:themeShade="8C"/>
              <w:lang w:val="zh-CN"/>
            </w:rPr>
            <w:t>[键入公司名称]</w:t>
          </w:r>
        </w:p>
      </w:docPartBody>
    </w:docPart>
    <w:docPart>
      <w:docPartPr>
        <w:name w:val="2EEBF10A9B264E0591E39E44D64A7D5D"/>
        <w:style w:val=""/>
        <w:category>
          <w:name w:val="常规"/>
          <w:gallery w:val="placeholder"/>
        </w:category>
        <w:types>
          <w:type w:val="bbPlcHdr"/>
        </w:types>
        <w:behaviors>
          <w:behavior w:val="content"/>
        </w:behaviors>
        <w:description w:val=""/>
        <w:guid w:val="{4EE68C01-C7DA-4260-9AAC-756255EEF21B}"/>
      </w:docPartPr>
      <w:docPartBody>
        <w:p w14:paraId="44C5426E">
          <w:pPr>
            <w:pStyle w:val="6"/>
            <w:rPr>
              <w:rFonts w:hint="eastAsia"/>
            </w:rPr>
          </w:pPr>
          <w:r>
            <w:rPr>
              <w:i/>
              <w:iCs/>
              <w:color w:val="8C8C8C" w:themeColor="background1" w:themeShade="8C"/>
              <w:lang w:val="zh-CN"/>
            </w:rPr>
            <w:t>[键入公司名称]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7E1"/>
    <w:rsid w:val="00032A38"/>
    <w:rsid w:val="000625DC"/>
    <w:rsid w:val="000F31CE"/>
    <w:rsid w:val="00145F1C"/>
    <w:rsid w:val="00172A90"/>
    <w:rsid w:val="001C2889"/>
    <w:rsid w:val="001C3774"/>
    <w:rsid w:val="00222D04"/>
    <w:rsid w:val="0032062B"/>
    <w:rsid w:val="0032671F"/>
    <w:rsid w:val="00374E95"/>
    <w:rsid w:val="00391B72"/>
    <w:rsid w:val="003B5F51"/>
    <w:rsid w:val="004258BF"/>
    <w:rsid w:val="004B6591"/>
    <w:rsid w:val="004D7718"/>
    <w:rsid w:val="00572786"/>
    <w:rsid w:val="005A4E49"/>
    <w:rsid w:val="005B3BAF"/>
    <w:rsid w:val="005F5D85"/>
    <w:rsid w:val="00607B71"/>
    <w:rsid w:val="00651267"/>
    <w:rsid w:val="00654004"/>
    <w:rsid w:val="00695F76"/>
    <w:rsid w:val="006D7EDC"/>
    <w:rsid w:val="006E5C0E"/>
    <w:rsid w:val="00742E65"/>
    <w:rsid w:val="0075050E"/>
    <w:rsid w:val="007C5DA4"/>
    <w:rsid w:val="007F2BB3"/>
    <w:rsid w:val="008004B8"/>
    <w:rsid w:val="0085666D"/>
    <w:rsid w:val="008863A7"/>
    <w:rsid w:val="008E57E1"/>
    <w:rsid w:val="008F7AD5"/>
    <w:rsid w:val="00941A15"/>
    <w:rsid w:val="00975611"/>
    <w:rsid w:val="009C08B8"/>
    <w:rsid w:val="009D7F76"/>
    <w:rsid w:val="00A03236"/>
    <w:rsid w:val="00AA3253"/>
    <w:rsid w:val="00AC56BA"/>
    <w:rsid w:val="00B0732F"/>
    <w:rsid w:val="00B14356"/>
    <w:rsid w:val="00B15E0F"/>
    <w:rsid w:val="00B44C91"/>
    <w:rsid w:val="00BC295B"/>
    <w:rsid w:val="00BE5098"/>
    <w:rsid w:val="00C30C0D"/>
    <w:rsid w:val="00C42556"/>
    <w:rsid w:val="00C50805"/>
    <w:rsid w:val="00CC53B0"/>
    <w:rsid w:val="00D36C95"/>
    <w:rsid w:val="00D36E9C"/>
    <w:rsid w:val="00D828CC"/>
    <w:rsid w:val="00DA4998"/>
    <w:rsid w:val="00DA7D86"/>
    <w:rsid w:val="00DB60CF"/>
    <w:rsid w:val="00E2008B"/>
    <w:rsid w:val="00E82C32"/>
    <w:rsid w:val="00EB6025"/>
    <w:rsid w:val="00EC2BD7"/>
    <w:rsid w:val="00ED264F"/>
    <w:rsid w:val="00F31AEB"/>
    <w:rsid w:val="00F44A12"/>
    <w:rsid w:val="00F57C11"/>
    <w:rsid w:val="00F94755"/>
    <w:rsid w:val="00FB51BD"/>
    <w:rsid w:val="00FD1837"/>
    <w:rsid w:val="00FD3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2B7E7F29FD1B4C17A37E1A0173F3A37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
    <w:name w:val="FC54368087D14E37B18870051DA2660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EEBF10A9B264E0591E39E44D64A7D5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贵州联广科技股份有限公司</Company>
  <Pages>16</Pages>
  <Words>7648</Words>
  <Characters>8065</Characters>
  <Lines>67</Lines>
  <Paragraphs>19</Paragraphs>
  <TotalTime>117</TotalTime>
  <ScaleCrop>false</ScaleCrop>
  <LinksUpToDate>false</LinksUpToDate>
  <CharactersWithSpaces>8337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2025-12-03T18:44:00Z</dcterms:created>
  <dc:creator>Hu Jun</dc:creator>
  <cp:lastModifiedBy>ws</cp:lastModifiedBy>
  <cp:lastPrinted>2024-05-12T17:58:00Z</cp:lastPrinted>
  <dcterms:modified xsi:type="dcterms:W3CDTF">2026-05-26T00:41:42Z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B9B67E56AB7C930C9C665F6945D9067A_43</vt:lpwstr>
  </property>
  <property fmtid="{D5CDD505-2E9C-101B-9397-08002B2CF9AE}" pid="4" name="KSOTemplateDocerSaveRecord">
    <vt:lpwstr>eyJoZGlkIjoiMTg3NGZmMTJhNDRkMjA5NWE5MDJiOGFjMGVkNGQ2YTUiLCJ1c2VySWQiOiI5NTE3NzA1ODQifQ==</vt:lpwstr>
  </property>
</Properties>
</file>