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560" w:lineRule="exact"/>
        <w:ind w:firstLine="700"/>
        <w:jc w:val="both"/>
        <w:rPr>
          <w:rFonts w:ascii="Times New Roman" w:hAnsi="Times New Roman" w:eastAsia="黑体"/>
          <w:sz w:val="28"/>
          <w:szCs w:val="28"/>
        </w:rPr>
      </w:pPr>
      <w:bookmarkStart w:id="0" w:name="_Toc285612596"/>
      <w:r>
        <w:rPr>
          <w:rFonts w:hint="eastAsia" w:ascii="Times New Roman" w:hAnsi="Times New Roman" w:eastAsia="黑体" w:cs="黑体"/>
          <w:sz w:val="28"/>
          <w:szCs w:val="28"/>
          <w:lang w:bidi="ar"/>
        </w:rPr>
        <w:t>货物一览表</w:t>
      </w:r>
    </w:p>
    <w:tbl>
      <w:tblPr>
        <w:tblStyle w:val="10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956"/>
        <w:gridCol w:w="1582"/>
        <w:gridCol w:w="2318"/>
        <w:gridCol w:w="992"/>
        <w:gridCol w:w="851"/>
        <w:gridCol w:w="8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包号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货物名称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规格型号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技术指标参数要求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宋体"/>
                <w:kern w:val="0"/>
                <w:sz w:val="24"/>
                <w:szCs w:val="24"/>
                <w:highlight w:val="none"/>
                <w:lang w:bidi="ar"/>
              </w:rPr>
              <w:t>计量</w:t>
            </w:r>
          </w:p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数量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cs="宋体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3-1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数码生物显微镜</w:t>
            </w:r>
          </w:p>
        </w:tc>
        <w:tc>
          <w:tcPr>
            <w:tcW w:w="1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详见技术要求</w:t>
            </w:r>
          </w:p>
        </w:tc>
        <w:tc>
          <w:tcPr>
            <w:tcW w:w="2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详见技术要求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核心产品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3-2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显微镜</w:t>
            </w:r>
          </w:p>
        </w:tc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  <w:tc>
          <w:tcPr>
            <w:tcW w:w="2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800" w:firstLineChars="400"/>
              <w:jc w:val="left"/>
              <w:rPr>
                <w:rFonts w:hint="eastAsia"/>
                <w:sz w:val="20"/>
                <w:szCs w:val="20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核心产品</w:t>
            </w:r>
          </w:p>
        </w:tc>
      </w:tr>
      <w:bookmarkEnd w:id="0"/>
    </w:tbl>
    <w:p>
      <w:pPr>
        <w:pStyle w:val="8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 w:line="560" w:lineRule="exact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  <w:lang w:bidi="ar"/>
        </w:rPr>
        <w:t>技术要求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合同包三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  <w:lang w:val="zh-CN"/>
        </w:rPr>
        <w:t>-1</w:t>
      </w:r>
      <w:r>
        <w:rPr>
          <w:rFonts w:hint="eastAsia" w:ascii="宋体" w:hAnsi="宋体"/>
          <w:sz w:val="28"/>
          <w:szCs w:val="28"/>
          <w:lang w:val="zh-CN"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3-2</w:t>
      </w:r>
      <w:r>
        <w:rPr>
          <w:rFonts w:hint="eastAsia" w:ascii="宋体" w:hAnsi="宋体"/>
          <w:sz w:val="28"/>
          <w:szCs w:val="28"/>
          <w:lang w:val="zh-CN"/>
        </w:rPr>
        <w:t>数字生物显微镜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1.用    途：应用于微生物、细胞、组织等样本进行显微放大，以及对放大后的图像进行观察和处理，用作进一步的分析。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2.数    量：2套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3.技术参数：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▲3.1具备CFDA注册证；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3.2光学系统：无限远光学系统；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3.3调焦系统：低手位同轴调焦机构，调焦范围≥28mm，微调精度1um；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3.4明场照明装置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3.4.1采用真科勒照明系统；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3.4.2色温可调LED灯，调节范围（3000—7000）K；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3.5载物台：钢丝结构载物平台，行程≥78×32（mm）；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3.6编码式转换器：≥5孔；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3.7观察镜筒：铰链式三目观察头，倾角≥30度；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3.8目镜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3.8.1 10X超宽视野目镜，视场数≥22mm；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3.8.2高眼点设计，双目屈光度可调；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★3.9物镜：高级长工作距离高数值孔径平场消色差物镜4个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3.9.1物镜4×， 数值孔径：NA≥0.15；工作距离≥30mm；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3.9.2物镜10×， 数值孔径：NA≥0.25；工作距离≥10.2mm；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3.9.3物镜40×， 数值孔径：NA≥0.65；工作距离≥0.7mm；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3.9.4物镜100×（油）， 数值孔径：NA≥1.25；工作距离≥0.13mm；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3.10聚光镜系统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3.10.1通用聚光镜，孔径光栏并有刻度标记；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3.10.2工作距离≥10mm，NA≥0.9；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3.11成像系统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★3.11.1 彩色相机：CMOS尺寸：≥1英寸,像素≥1600万；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3.11.2支持TWAIN和DSHOW接口；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3.11.3 USB3.0数据传输接口。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3.12图像分析软件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3.12.1通过计算机对显微相机进行图像编辑功能，包含自动拼图和景深扩展（EFI）处理、图像灰度校正、彩色荧光合成功能等；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3.12.2可实现标尺、注释功能，同时可测量直线长度、曲线长度、矩形面积、圆面积、周长、角度等多个参数，并把测量结果输出到EXCEL；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3.12.3具备图像分割与计数功能，数据可输出到Excel；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3.12.4可实现相机的曝光、亮度、对比度等参数的调节；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3.12.5具有基于Word模板的快捷的实验报告，一键实验报告制作，可以从相机、图像文件直接生成实验报告，实验报告模板用户可以在Word里面自行定义和编辑。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4.配置清单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4.1数字生物显微镜 2套</w:t>
      </w:r>
    </w:p>
    <w:p>
      <w:pPr>
        <w:spacing w:line="560" w:lineRule="exact"/>
        <w:rPr>
          <w:rFonts w:hint="eastAsia" w:eastAsia="黑体" w:cs="黑体"/>
          <w:kern w:val="0"/>
          <w:sz w:val="28"/>
          <w:szCs w:val="28"/>
          <w:lang w:bidi="ar"/>
        </w:rPr>
      </w:pPr>
    </w:p>
    <w:p>
      <w:pPr>
        <w:spacing w:line="560" w:lineRule="exact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 w:cs="黑体"/>
          <w:kern w:val="0"/>
          <w:sz w:val="28"/>
          <w:szCs w:val="28"/>
          <w:lang w:bidi="ar"/>
        </w:rPr>
        <w:t>三、商务要求</w:t>
      </w:r>
    </w:p>
    <w:p>
      <w:pPr>
        <w:pStyle w:val="8"/>
        <w:widowControl w:val="0"/>
        <w:spacing w:before="0" w:beforeAutospacing="0" w:after="0" w:afterAutospacing="0" w:line="560" w:lineRule="exact"/>
        <w:ind w:left="11" w:firstLine="560" w:firstLineChars="200"/>
        <w:jc w:val="both"/>
        <w:rPr>
          <w:rFonts w:ascii="Times New Roman"/>
          <w:sz w:val="28"/>
          <w:szCs w:val="28"/>
        </w:rPr>
      </w:pPr>
      <w:r>
        <w:rPr>
          <w:rFonts w:hint="eastAsia" w:cs="宋体"/>
          <w:sz w:val="28"/>
          <w:szCs w:val="28"/>
          <w:lang w:val="zh-CN" w:bidi="ar"/>
        </w:rPr>
        <w:t>★</w:t>
      </w:r>
      <w:r>
        <w:rPr>
          <w:rFonts w:hint="eastAsia" w:ascii="Times New Roman" w:cs="宋体"/>
          <w:sz w:val="28"/>
          <w:szCs w:val="28"/>
          <w:lang w:val="zh-CN" w:bidi="ar"/>
        </w:rPr>
        <w:t>（一）</w:t>
      </w:r>
      <w:r>
        <w:rPr>
          <w:rFonts w:hint="eastAsia" w:ascii="Times New Roman" w:cs="宋体"/>
          <w:sz w:val="28"/>
          <w:szCs w:val="28"/>
          <w:lang w:bidi="ar"/>
        </w:rPr>
        <w:t>交货时间、地点与方式</w:t>
      </w:r>
    </w:p>
    <w:p>
      <w:pPr>
        <w:pStyle w:val="8"/>
        <w:spacing w:before="0" w:beforeAutospacing="0" w:after="0" w:afterAutospacing="0" w:line="560" w:lineRule="exact"/>
        <w:ind w:left="11" w:firstLine="560" w:firstLineChars="200"/>
        <w:rPr>
          <w:rFonts w:ascii="Times New Roman"/>
          <w:sz w:val="28"/>
          <w:szCs w:val="28"/>
        </w:rPr>
      </w:pPr>
      <w:r>
        <w:rPr>
          <w:rFonts w:hint="eastAsia" w:cs="宋体"/>
          <w:sz w:val="28"/>
          <w:szCs w:val="28"/>
          <w:lang w:bidi="ar"/>
        </w:rPr>
        <w:t>1.</w:t>
      </w:r>
      <w:r>
        <w:rPr>
          <w:rFonts w:hint="eastAsia" w:ascii="Times New Roman" w:cs="宋体"/>
          <w:sz w:val="28"/>
          <w:szCs w:val="28"/>
          <w:lang w:bidi="ar"/>
        </w:rPr>
        <w:t>交货地点：</w:t>
      </w:r>
      <w:r>
        <w:rPr>
          <w:rFonts w:hint="eastAsia" w:ascii="Times New Roman"/>
          <w:sz w:val="28"/>
          <w:szCs w:val="28"/>
          <w:u w:val="single"/>
        </w:rPr>
        <w:t>福建福州</w:t>
      </w:r>
      <w:r>
        <w:rPr>
          <w:rFonts w:hint="eastAsia" w:ascii="Times New Roman" w:cs="宋体"/>
          <w:sz w:val="28"/>
          <w:szCs w:val="28"/>
          <w:lang w:bidi="ar"/>
        </w:rPr>
        <w:t>。</w:t>
      </w:r>
    </w:p>
    <w:p>
      <w:pPr>
        <w:pStyle w:val="8"/>
        <w:spacing w:before="0" w:beforeAutospacing="0" w:after="0" w:afterAutospacing="0" w:line="560" w:lineRule="exact"/>
        <w:ind w:left="11" w:firstLine="560" w:firstLineChars="200"/>
        <w:rPr>
          <w:rFonts w:ascii="Times New Roman"/>
          <w:sz w:val="28"/>
          <w:szCs w:val="28"/>
        </w:rPr>
      </w:pPr>
      <w:r>
        <w:rPr>
          <w:rFonts w:hint="eastAsia" w:cs="宋体"/>
          <w:sz w:val="28"/>
          <w:szCs w:val="28"/>
          <w:lang w:bidi="ar"/>
        </w:rPr>
        <w:t>2.</w:t>
      </w:r>
      <w:r>
        <w:rPr>
          <w:rFonts w:hint="eastAsia" w:ascii="Times New Roman" w:cs="宋体"/>
          <w:sz w:val="28"/>
          <w:szCs w:val="28"/>
          <w:lang w:bidi="ar"/>
        </w:rPr>
        <w:t>交货期：合同签订之日起</w:t>
      </w:r>
      <w:r>
        <w:rPr>
          <w:rFonts w:ascii="Times New Roman"/>
          <w:sz w:val="28"/>
          <w:szCs w:val="28"/>
          <w:lang w:bidi="ar"/>
        </w:rPr>
        <w:t xml:space="preserve"> </w:t>
      </w:r>
      <w:r>
        <w:rPr>
          <w:rFonts w:hint="eastAsia" w:ascii="Times New Roman"/>
          <w:sz w:val="28"/>
          <w:szCs w:val="28"/>
          <w:u w:val="single"/>
        </w:rPr>
        <w:t>30</w:t>
      </w:r>
      <w:r>
        <w:rPr>
          <w:rFonts w:hint="eastAsia" w:ascii="Times New Roman" w:cs="宋体"/>
          <w:sz w:val="28"/>
          <w:szCs w:val="28"/>
          <w:lang w:bidi="ar"/>
        </w:rPr>
        <w:t>天内全部交货并安装调试完毕。</w:t>
      </w:r>
    </w:p>
    <w:p>
      <w:pPr>
        <w:pStyle w:val="8"/>
        <w:widowControl w:val="0"/>
        <w:spacing w:before="0" w:beforeAutospacing="0" w:after="0" w:afterAutospacing="0" w:line="560" w:lineRule="exact"/>
        <w:ind w:left="11" w:firstLine="560" w:firstLineChars="200"/>
        <w:jc w:val="both"/>
        <w:rPr>
          <w:rFonts w:ascii="Times New Roman"/>
          <w:sz w:val="28"/>
          <w:szCs w:val="28"/>
        </w:rPr>
      </w:pPr>
      <w:r>
        <w:rPr>
          <w:rFonts w:hint="eastAsia" w:cs="宋体"/>
          <w:sz w:val="28"/>
          <w:szCs w:val="28"/>
          <w:lang w:bidi="ar"/>
        </w:rPr>
        <w:t>3.</w:t>
      </w:r>
      <w:r>
        <w:rPr>
          <w:rFonts w:hint="eastAsia" w:ascii="Times New Roman" w:cs="宋体"/>
          <w:sz w:val="28"/>
          <w:szCs w:val="28"/>
          <w:lang w:bidi="ar"/>
        </w:rPr>
        <w:t>交货方式：</w:t>
      </w:r>
      <w:r>
        <w:rPr>
          <w:rFonts w:hint="eastAsia" w:ascii="Times New Roman"/>
          <w:sz w:val="28"/>
          <w:szCs w:val="28"/>
          <w:u w:val="single"/>
        </w:rPr>
        <w:t>甲方指定方式</w:t>
      </w:r>
      <w:r>
        <w:rPr>
          <w:rFonts w:hint="eastAsia" w:ascii="Times New Roman" w:cs="宋体"/>
          <w:sz w:val="28"/>
          <w:szCs w:val="28"/>
          <w:lang w:bidi="ar"/>
        </w:rPr>
        <w:t>。</w:t>
      </w:r>
    </w:p>
    <w:p>
      <w:pPr>
        <w:pStyle w:val="8"/>
        <w:widowControl w:val="0"/>
        <w:spacing w:before="0" w:beforeAutospacing="0" w:after="0" w:afterAutospacing="0" w:line="560" w:lineRule="exact"/>
        <w:ind w:left="11" w:firstLine="560" w:firstLineChars="200"/>
        <w:jc w:val="both"/>
        <w:rPr>
          <w:rFonts w:ascii="Times New Roman" w:hAnsi="Times New Roman"/>
          <w:sz w:val="28"/>
          <w:szCs w:val="28"/>
        </w:rPr>
      </w:pPr>
      <w:r>
        <w:rPr>
          <w:rFonts w:hint="eastAsia" w:cs="宋体"/>
          <w:sz w:val="28"/>
          <w:szCs w:val="28"/>
          <w:lang w:val="zh-CN" w:bidi="ar"/>
        </w:rPr>
        <w:t>★</w:t>
      </w:r>
      <w:r>
        <w:rPr>
          <w:rFonts w:hint="eastAsia" w:ascii="Times New Roman" w:cs="宋体"/>
          <w:sz w:val="28"/>
          <w:szCs w:val="28"/>
          <w:lang w:val="zh-CN" w:bidi="ar"/>
        </w:rPr>
        <w:t>（二）</w:t>
      </w:r>
      <w:r>
        <w:rPr>
          <w:rFonts w:hint="eastAsia" w:ascii="Times New Roman" w:cs="宋体"/>
          <w:sz w:val="28"/>
          <w:szCs w:val="28"/>
          <w:lang w:bidi="ar"/>
        </w:rPr>
        <w:t>售后服务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zh-CN" w:bidi="ar"/>
        </w:rPr>
        <w:t>1.质量保证期：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自交货验收完毕之日算起，所有产品质保至少</w:t>
      </w:r>
      <w:r>
        <w:rPr>
          <w:rFonts w:hint="eastAsia" w:ascii="宋体" w:hAnsi="宋体" w:cs="宋体"/>
          <w:kern w:val="0"/>
          <w:sz w:val="28"/>
          <w:szCs w:val="28"/>
          <w:u w:val="single"/>
          <w:lang w:bidi="ar"/>
        </w:rPr>
        <w:t>24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个月。报价供应商对提供的货物在质保期内，因产品质量而导致的缺陷，必须免费提供包修、包换、包退服务，因此导致的损失采购单位有权向成交供应商追偿。超出质保期后，供应商应当提供上门维修服务，仅收取成本费。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>2.</w:t>
      </w:r>
      <w:r>
        <w:rPr>
          <w:rFonts w:hint="eastAsia" w:ascii="宋体" w:hAnsi="宋体" w:cs="宋体"/>
          <w:kern w:val="0"/>
          <w:sz w:val="28"/>
          <w:szCs w:val="28"/>
          <w:lang w:val="zh-CN" w:bidi="ar"/>
        </w:rPr>
        <w:t>报价供应商须承诺履行军事保密义务，在军事行动中提供应急支援保障服务。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>3.</w:t>
      </w:r>
      <w:r>
        <w:rPr>
          <w:rFonts w:hint="eastAsia" w:ascii="宋体" w:hAnsi="宋体" w:cs="宋体"/>
          <w:kern w:val="0"/>
          <w:sz w:val="28"/>
          <w:szCs w:val="28"/>
          <w:lang w:val="zh-CN" w:bidi="ar"/>
        </w:rPr>
        <w:t>报价供应商须承诺提供该货物的技术培训、技术支持和维修巡检服务，服务内容包括</w:t>
      </w:r>
      <w:r>
        <w:rPr>
          <w:rFonts w:hint="eastAsia" w:ascii="宋体" w:hAnsi="宋体"/>
          <w:sz w:val="28"/>
          <w:szCs w:val="28"/>
          <w:u w:val="single"/>
          <w:lang w:val="zh-CN"/>
        </w:rPr>
        <w:t>培训和维护培训等</w:t>
      </w:r>
      <w:r>
        <w:rPr>
          <w:rFonts w:hint="eastAsia" w:ascii="宋体" w:hAnsi="宋体" w:cs="宋体"/>
          <w:kern w:val="0"/>
          <w:sz w:val="28"/>
          <w:szCs w:val="28"/>
          <w:lang w:val="zh-CN" w:bidi="ar"/>
        </w:rPr>
        <w:t>，并在报价文件中提供相应书面方案。根据项目情况，提供产品建档计划等。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kern w:val="0"/>
          <w:sz w:val="28"/>
          <w:szCs w:val="28"/>
          <w:lang w:val="zh-CN" w:bidi="ar"/>
        </w:rPr>
        <w:t>4.报价供应商须提供生命周期内零备件和消耗品清单，并明确供应周期和价格等优惠条件。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kern w:val="0"/>
          <w:sz w:val="28"/>
          <w:szCs w:val="28"/>
          <w:lang w:val="zh-CN" w:bidi="ar"/>
        </w:rPr>
        <w:t>5.报价供应商须承诺，</w:t>
      </w:r>
      <w:r>
        <w:rPr>
          <w:rFonts w:hint="eastAsia" w:ascii="宋体" w:hAnsi="宋体"/>
          <w:sz w:val="28"/>
          <w:szCs w:val="28"/>
          <w:lang w:val="zh-CN"/>
        </w:rPr>
        <w:t>对售后服务需求提供</w:t>
      </w:r>
      <w:r>
        <w:rPr>
          <w:rFonts w:hint="eastAsia" w:ascii="宋体" w:hAnsi="宋体"/>
          <w:sz w:val="28"/>
          <w:szCs w:val="28"/>
          <w:u w:val="single"/>
        </w:rPr>
        <w:t>4小时</w:t>
      </w:r>
      <w:r>
        <w:rPr>
          <w:rFonts w:hint="eastAsia" w:ascii="宋体" w:hAnsi="宋体"/>
          <w:sz w:val="28"/>
          <w:szCs w:val="28"/>
          <w:lang w:val="zh-CN"/>
        </w:rPr>
        <w:t xml:space="preserve">响应， </w:t>
      </w:r>
      <w:r>
        <w:rPr>
          <w:rFonts w:hint="eastAsia" w:ascii="宋体" w:hAnsi="宋体"/>
          <w:sz w:val="28"/>
          <w:szCs w:val="28"/>
          <w:u w:val="single"/>
        </w:rPr>
        <w:t>24</w:t>
      </w:r>
      <w:r>
        <w:rPr>
          <w:rFonts w:hint="eastAsia" w:ascii="宋体" w:hAnsi="宋体"/>
          <w:sz w:val="28"/>
          <w:szCs w:val="28"/>
          <w:lang w:val="zh-CN"/>
        </w:rPr>
        <w:t>小时内到达现场实施维修。</w:t>
      </w:r>
      <w:r>
        <w:rPr>
          <w:rFonts w:hint="eastAsia" w:ascii="宋体" w:hAnsi="宋体"/>
          <w:sz w:val="28"/>
          <w:szCs w:val="28"/>
          <w:u w:val="single"/>
        </w:rPr>
        <w:t>48</w:t>
      </w:r>
      <w:r>
        <w:rPr>
          <w:rFonts w:hint="eastAsia" w:ascii="宋体" w:hAnsi="宋体"/>
          <w:sz w:val="28"/>
          <w:szCs w:val="28"/>
          <w:lang w:val="zh-CN"/>
        </w:rPr>
        <w:t>小时仍未排除故障、恢复正常运转的，由报价供应商提供同类型备品、备件等</w:t>
      </w:r>
      <w:r>
        <w:rPr>
          <w:rFonts w:hint="eastAsia" w:ascii="宋体" w:hAnsi="宋体" w:cs="宋体"/>
          <w:kern w:val="0"/>
          <w:sz w:val="28"/>
          <w:szCs w:val="28"/>
          <w:lang w:val="zh-CN" w:bidi="ar"/>
        </w:rPr>
        <w:t>。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>6</w:t>
      </w:r>
      <w:r>
        <w:rPr>
          <w:rFonts w:hint="eastAsia" w:ascii="宋体" w:hAnsi="宋体" w:cs="宋体"/>
          <w:kern w:val="0"/>
          <w:sz w:val="28"/>
          <w:szCs w:val="28"/>
          <w:lang w:val="zh-CN" w:bidi="ar"/>
        </w:rPr>
        <w:t>.其他服务要求：</w:t>
      </w:r>
      <w:r>
        <w:rPr>
          <w:rFonts w:hint="eastAsia" w:ascii="宋体" w:hAnsi="宋体"/>
          <w:sz w:val="28"/>
          <w:szCs w:val="28"/>
          <w:lang w:val="zh-CN"/>
        </w:rPr>
        <w:t>如</w:t>
      </w:r>
      <w:r>
        <w:rPr>
          <w:rFonts w:ascii="宋体" w:hAnsi="宋体"/>
          <w:sz w:val="28"/>
          <w:szCs w:val="28"/>
        </w:rPr>
        <w:t>有专机专用配套耗材（试剂）的，厂商必须自报（列出详细清单、报价、折扣价），否则视为无效</w:t>
      </w:r>
      <w:r>
        <w:rPr>
          <w:rFonts w:hint="eastAsia" w:ascii="宋体" w:hAnsi="宋体"/>
          <w:sz w:val="28"/>
          <w:szCs w:val="28"/>
        </w:rPr>
        <w:t>报价</w:t>
      </w:r>
      <w:r>
        <w:rPr>
          <w:rFonts w:hint="eastAsia" w:ascii="宋体" w:hAnsi="宋体" w:cs="宋体"/>
          <w:kern w:val="0"/>
          <w:sz w:val="28"/>
          <w:szCs w:val="28"/>
          <w:lang w:val="zh-CN" w:bidi="ar"/>
        </w:rPr>
        <w:t>。</w:t>
      </w:r>
    </w:p>
    <w:p>
      <w:pPr>
        <w:pStyle w:val="8"/>
        <w:widowControl w:val="0"/>
        <w:spacing w:before="0" w:beforeAutospacing="0" w:after="0" w:afterAutospacing="0" w:line="560" w:lineRule="exact"/>
        <w:ind w:left="11" w:firstLine="560" w:firstLineChars="20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hint="eastAsia" w:cs="宋体"/>
          <w:sz w:val="28"/>
          <w:szCs w:val="28"/>
          <w:lang w:val="zh-CN" w:bidi="ar"/>
        </w:rPr>
        <w:t>★</w:t>
      </w:r>
      <w:r>
        <w:rPr>
          <w:rFonts w:hint="eastAsia" w:ascii="Times New Roman" w:cs="宋体"/>
          <w:sz w:val="28"/>
          <w:szCs w:val="28"/>
          <w:lang w:val="zh-CN" w:bidi="ar"/>
        </w:rPr>
        <w:t>（三）</w:t>
      </w:r>
      <w:r>
        <w:rPr>
          <w:rFonts w:hint="eastAsia" w:ascii="Times New Roman" w:cs="宋体"/>
          <w:sz w:val="28"/>
          <w:szCs w:val="28"/>
          <w:lang w:bidi="ar"/>
        </w:rPr>
        <w:t>专利权和保密要求</w:t>
      </w:r>
    </w:p>
    <w:p>
      <w:pPr>
        <w:pStyle w:val="8"/>
        <w:widowControl w:val="0"/>
        <w:spacing w:before="0" w:beforeAutospacing="0" w:after="0" w:afterAutospacing="0" w:line="560" w:lineRule="exact"/>
        <w:ind w:firstLine="560" w:firstLineChars="200"/>
        <w:jc w:val="both"/>
        <w:rPr>
          <w:rFonts w:ascii="Times New Roman" w:hAnsi="Times New Roman"/>
          <w:sz w:val="28"/>
          <w:szCs w:val="28"/>
          <w:lang w:val="zh-CN"/>
        </w:rPr>
      </w:pPr>
      <w:r>
        <w:rPr>
          <w:rFonts w:hint="eastAsia" w:ascii="Times New Roman" w:hAnsi="Times New Roman" w:cs="宋体"/>
          <w:sz w:val="28"/>
          <w:szCs w:val="28"/>
          <w:lang w:val="zh-CN" w:bidi="ar"/>
        </w:rPr>
        <w:t>报价供应商应保证使用方在使用该货物或其任何一部分时，不受第三方侵权指控。同时，报价供应商不得向第三方泄露采购机构提供的技术文件等资料。</w:t>
      </w:r>
    </w:p>
    <w:p>
      <w:pPr>
        <w:pStyle w:val="8"/>
        <w:spacing w:before="0" w:beforeAutospacing="0" w:after="0" w:afterAutospacing="0" w:line="560" w:lineRule="atLeast"/>
        <w:ind w:firstLine="560" w:firstLineChars="200"/>
        <w:rPr>
          <w:rFonts w:hint="eastAsia" w:cs="宋体"/>
          <w:sz w:val="28"/>
          <w:szCs w:val="28"/>
          <w:lang w:val="zh-CN"/>
        </w:rPr>
      </w:pPr>
      <w:r>
        <w:rPr>
          <w:rFonts w:hint="eastAsia" w:cs="宋体"/>
          <w:sz w:val="28"/>
          <w:szCs w:val="28"/>
          <w:lang w:val="zh-CN" w:bidi="ar"/>
        </w:rPr>
        <w:t>★（四）付款及结算方式</w:t>
      </w:r>
    </w:p>
    <w:p>
      <w:pPr>
        <w:spacing w:line="560" w:lineRule="atLeast"/>
        <w:ind w:firstLine="560" w:firstLineChars="200"/>
        <w:rPr>
          <w:sz w:val="28"/>
          <w:szCs w:val="28"/>
          <w:lang w:val="zh-CN"/>
        </w:rPr>
      </w:pPr>
      <w:r>
        <w:rPr>
          <w:rFonts w:hint="eastAsia" w:ascii="宋体" w:hAnsi="宋体" w:cs="宋体"/>
          <w:kern w:val="0"/>
          <w:sz w:val="28"/>
          <w:szCs w:val="28"/>
          <w:lang w:val="zh-CN" w:bidi="ar"/>
        </w:rPr>
        <w:t>本项目不预付货款，</w:t>
      </w:r>
      <w:r>
        <w:rPr>
          <w:rFonts w:hint="eastAsia" w:cs="宋体"/>
          <w:kern w:val="0"/>
          <w:sz w:val="28"/>
          <w:szCs w:val="28"/>
          <w:lang w:val="zh-CN" w:bidi="ar"/>
        </w:rPr>
        <w:t>货物运达指定地点验收合格后，合同乙方收集发运接收单、发票、验收报告等资料，提交采购单位办理结算手续，采购单位在</w:t>
      </w:r>
      <w:r>
        <w:rPr>
          <w:kern w:val="0"/>
          <w:sz w:val="28"/>
          <w:szCs w:val="28"/>
          <w:lang w:val="zh-CN" w:bidi="ar"/>
        </w:rPr>
        <w:t>30</w:t>
      </w:r>
      <w:r>
        <w:rPr>
          <w:rFonts w:hint="eastAsia" w:cs="宋体"/>
          <w:kern w:val="0"/>
          <w:sz w:val="28"/>
          <w:szCs w:val="28"/>
          <w:lang w:val="zh-CN" w:bidi="ar"/>
        </w:rPr>
        <w:t>天内向乙方支付货款。</w:t>
      </w:r>
    </w:p>
    <w:p>
      <w:pPr>
        <w:tabs>
          <w:tab w:val="left" w:pos="0"/>
        </w:tabs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zh-CN" w:bidi="ar"/>
        </w:rPr>
        <w:t>★</w:t>
      </w:r>
      <w:r>
        <w:rPr>
          <w:rFonts w:hint="eastAsia" w:ascii="宋体" w:hAnsi="宋体" w:cs="宋体"/>
          <w:snapToGrid w:val="0"/>
          <w:kern w:val="0"/>
          <w:sz w:val="28"/>
          <w:szCs w:val="28"/>
          <w:lang w:bidi="ar"/>
        </w:rPr>
        <w:t>（五）履约保证金和质量保证金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rPr>
          <w:rFonts w:hint="eastAsia" w:ascii="宋体" w:hAnsi="宋体"/>
          <w:snapToGrid w:val="0"/>
          <w:sz w:val="28"/>
          <w:szCs w:val="28"/>
        </w:rPr>
      </w:pPr>
      <w:r>
        <w:rPr>
          <w:rFonts w:hint="eastAsia" w:ascii="宋体" w:hAnsi="宋体"/>
          <w:snapToGrid w:val="0"/>
          <w:sz w:val="28"/>
          <w:szCs w:val="28"/>
        </w:rPr>
        <w:t>物资检验验收合格并完成交货后30天内，合同甲方凭合同乙方提供的相关票据单证，向合同乙方支付合同总金额的95%，余5%作为质量保证金，质量保证金一般在质保期满且无质量问题时全额无息退还。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radley Hand ITC">
    <w:altName w:val="宋体"/>
    <w:panose1 w:val="03070402050302030203"/>
    <w:charset w:val="00"/>
    <w:family w:val="script"/>
    <w:pitch w:val="default"/>
    <w:sig w:usb0="00000000" w:usb1="00000000" w:usb2="00000000" w:usb3="00000000" w:csb0="00000001" w:csb1="00000000"/>
  </w:font>
  <w:font w:name="Microsoft Uighur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hint="eastAsia" w:ascii="宋体" w:hAnsi="宋体"/>
        <w:sz w:val="24"/>
        <w:szCs w:val="24"/>
      </w:rPr>
    </w:pPr>
    <w:r>
      <w:rPr>
        <w:rStyle w:val="12"/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Style w:val="12"/>
        <w:rFonts w:ascii="宋体" w:hAnsi="宋体"/>
        <w:sz w:val="24"/>
        <w:szCs w:val="24"/>
      </w:rPr>
      <w:instrText xml:space="preserve"> PAGE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12"/>
        <w:rFonts w:ascii="宋体" w:hAnsi="宋体"/>
        <w:sz w:val="24"/>
        <w:szCs w:val="24"/>
      </w:rPr>
      <w:t>16</w:t>
    </w:r>
    <w:r>
      <w:rPr>
        <w:rFonts w:ascii="宋体" w:hAnsi="宋体"/>
        <w:sz w:val="24"/>
        <w:szCs w:val="24"/>
      </w:rPr>
      <w:fldChar w:fldCharType="end"/>
    </w:r>
    <w:r>
      <w:rPr>
        <w:rStyle w:val="12"/>
        <w:rFonts w:hint="eastAsia" w:ascii="宋体" w:hAnsi="宋体"/>
        <w:sz w:val="24"/>
        <w:szCs w:val="24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楷体_GB2312" w:hAnsi="楷体" w:eastAsia="楷体_GB2312" w:cs="楷体"/>
        <w:sz w:val="21"/>
        <w:szCs w:val="21"/>
      </w:rPr>
    </w:pPr>
    <w:r>
      <w:rPr>
        <w:rFonts w:hint="eastAsia" w:ascii="楷体_GB2312" w:hAnsi="楷体" w:eastAsia="楷体_GB2312" w:cs="楷体"/>
        <w:sz w:val="21"/>
        <w:szCs w:val="21"/>
      </w:rPr>
      <w:t>第六章 采购项目商务和技术要求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971632"/>
    <w:multiLevelType w:val="multilevel"/>
    <w:tmpl w:val="61971632"/>
    <w:lvl w:ilvl="0" w:tentative="0">
      <w:start w:val="1"/>
      <w:numFmt w:val="chineseCountingThousand"/>
      <w:suff w:val="nothing"/>
      <w:lvlText w:val="%1、"/>
      <w:lvlJc w:val="left"/>
      <w:pPr>
        <w:tabs>
          <w:tab w:val="left" w:pos="0"/>
        </w:tabs>
        <w:ind w:left="13" w:firstLine="555"/>
      </w:pPr>
      <w:rPr>
        <w:rFonts w:cs="Times New Roman"/>
        <w:b w:val="0"/>
      </w:rPr>
    </w:lvl>
    <w:lvl w:ilvl="1" w:tentative="0">
      <w:start w:val="1"/>
      <w:numFmt w:val="japaneseCounting"/>
      <w:lvlText w:val="%2、"/>
      <w:lvlJc w:val="left"/>
      <w:pPr>
        <w:tabs>
          <w:tab w:val="left" w:pos="0"/>
        </w:tabs>
        <w:ind w:left="1702" w:hanging="7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821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241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661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3081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501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921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4341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ZGNjNTY3OGM2NmU5ZDg5ZDA1NTAyM2RlYWM5NWMifQ=="/>
  </w:docVars>
  <w:rsids>
    <w:rsidRoot w:val="00E63F92"/>
    <w:rsid w:val="00E63F92"/>
    <w:rsid w:val="1A7C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toc 1"/>
    <w:basedOn w:val="1"/>
    <w:next w:val="1"/>
    <w:qFormat/>
    <w:uiPriority w:val="39"/>
    <w:pPr>
      <w:spacing w:line="360" w:lineRule="auto"/>
      <w:jc w:val="left"/>
    </w:pPr>
    <w:rPr>
      <w:rFonts w:eastAsia="黑体" w:asciiTheme="minorEastAsia" w:hAnsiTheme="minorEastAsia"/>
      <w:sz w:val="32"/>
      <w:szCs w:val="21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9">
    <w:name w:val="Body Text First Indent 2"/>
    <w:basedOn w:val="4"/>
    <w:next w:val="1"/>
    <w:qFormat/>
    <w:uiPriority w:val="0"/>
    <w:pPr>
      <w:ind w:left="200" w:firstLine="420" w:firstLineChars="200"/>
    </w:pPr>
    <w:rPr>
      <w:sz w:val="24"/>
      <w:szCs w:val="20"/>
    </w:rPr>
  </w:style>
  <w:style w:type="character" w:styleId="12">
    <w:name w:val="page number"/>
    <w:qFormat/>
    <w:uiPriority w:val="0"/>
    <w:rPr>
      <w:rFonts w:hint="default" w:ascii="Times New Roman" w:hAnsi="Times New Roman" w:cs="Times New Roman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2023-07-31T09:50:00Z</dcterms:created>
  <dc:creator>近原</dc:creator>
  <cp:lastModifiedBy>近原</cp:lastModifiedBy>
  <dcterms:modified xsi:type="dcterms:W3CDTF">2023-09-05T07:23:03Z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ADE8929BDA864994B952359D0D5058B9_11</vt:lpwstr>
  </property>
</Properties>
</file>