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eastAsia="宋体"/>
          <w:lang w:eastAsia="zh-CN"/>
        </w:rPr>
      </w:pPr>
      <w:bookmarkStart w:id="0" w:name="_Toc474521182"/>
      <w:bookmarkStart w:id="1" w:name="_Toc122530796"/>
      <w:bookmarkStart w:id="2" w:name="_Toc53993951"/>
      <w:bookmarkStart w:id="3" w:name="_Toc123130478"/>
      <w:bookmarkStart w:id="4" w:name="_Toc1677"/>
      <w:r>
        <w:rPr>
          <w:rFonts w:hint="eastAsia"/>
          <w:lang w:val="en-US" w:eastAsia="zh-CN"/>
        </w:rPr>
        <w:t>中国银行龙岩分行本部2023年户外媒体广告投放采购项目竞争性</w:t>
      </w:r>
      <w:r>
        <w:rPr>
          <w:rFonts w:hint="eastAsia"/>
        </w:rPr>
        <w:t>磋商</w:t>
      </w:r>
      <w:bookmarkEnd w:id="0"/>
      <w:bookmarkEnd w:id="1"/>
      <w:bookmarkEnd w:id="2"/>
      <w:bookmarkEnd w:id="3"/>
      <w:r>
        <w:rPr>
          <w:rFonts w:hint="eastAsia"/>
          <w:lang w:val="en-US" w:eastAsia="zh-CN"/>
        </w:rPr>
        <w:t>公告</w:t>
      </w:r>
      <w:bookmarkEnd w:id="4"/>
    </w:p>
    <w:p>
      <w:pPr>
        <w:pStyle w:val="3"/>
      </w:pPr>
      <w:r>
        <w:rPr>
          <w:rFonts w:hint="eastAsia" w:cs="Times New Roman" w:asciiTheme="minorEastAsia" w:hAnsiTheme="minorEastAsia" w:eastAsiaTheme="minorEastAsia"/>
          <w:kern w:val="2"/>
          <w:sz w:val="21"/>
          <w:szCs w:val="21"/>
          <w:lang w:val="en-US" w:eastAsia="zh-CN" w:bidi="ar-SA"/>
        </w:rPr>
        <w:t>本采购项目为【中国银行龙岩分行本部2023年户外媒体广告投放采购项目】，（项目编号：【</w:t>
      </w:r>
      <w:bookmarkStart w:id="6" w:name="_GoBack"/>
      <w:bookmarkEnd w:id="6"/>
      <w:r>
        <w:rPr>
          <w:rFonts w:hint="eastAsia" w:cs="Times New Roman" w:asciiTheme="minorEastAsia" w:hAnsiTheme="minorEastAsia" w:eastAsiaTheme="minorEastAsia"/>
          <w:kern w:val="2"/>
          <w:sz w:val="21"/>
          <w:szCs w:val="21"/>
          <w:lang w:val="en-US" w:eastAsia="zh-CN" w:bidi="ar-SA"/>
        </w:rPr>
        <w:t>FJZT-2023-11099】），采购人为【中国银行股份有限公司龙岩分行】，采购代理机构为【福建省中通通信物流有限公司】。项目资金由采购人自筹，资金已落实。现邀请有意向的且具有提供标的物能力的潜在供应商（以下简称供应商）参加应答。</w:t>
      </w:r>
    </w:p>
    <w:p>
      <w:pPr>
        <w:spacing w:line="360" w:lineRule="auto"/>
        <w:ind w:left="158" w:hanging="158"/>
        <w:outlineLvl w:val="9"/>
        <w:rPr>
          <w:rStyle w:val="9"/>
          <w:rFonts w:hint="default" w:eastAsia="宋体" w:cs="Times New Roman"/>
          <w:b/>
          <w:szCs w:val="32"/>
          <w:lang w:val="en-US" w:eastAsia="zh-CN"/>
        </w:rPr>
      </w:pPr>
      <w:r>
        <w:rPr>
          <w:rStyle w:val="9"/>
          <w:rFonts w:hint="eastAsia" w:eastAsia="宋体" w:cs="Times New Roman"/>
          <w:b/>
          <w:szCs w:val="32"/>
          <w:lang w:val="en-US" w:eastAsia="zh-CN"/>
        </w:rPr>
        <w:t>1.采购内容</w:t>
      </w:r>
    </w:p>
    <w:p>
      <w:pPr>
        <w:pageBreakBefore w:val="0"/>
        <w:kinsoku/>
        <w:overflowPunct/>
        <w:bidi w:val="0"/>
        <w:adjustRightInd w:val="0"/>
        <w:snapToGrid w:val="0"/>
        <w:spacing w:line="360" w:lineRule="auto"/>
        <w:rPr>
          <w:rFonts w:hint="eastAsia" w:ascii="宋体" w:hAnsi="宋体" w:cs="宋体"/>
          <w:spacing w:val="2"/>
          <w:sz w:val="21"/>
          <w:szCs w:val="21"/>
          <w:highlight w:val="yellow"/>
          <w:u w:val="single"/>
          <w:lang w:val="en-US" w:eastAsia="zh-CN"/>
        </w:rPr>
      </w:pPr>
      <w:r>
        <w:rPr>
          <w:rFonts w:hint="eastAsia" w:ascii="宋体" w:hAnsi="宋体" w:eastAsia="宋体" w:cs="宋体"/>
          <w:sz w:val="21"/>
          <w:szCs w:val="21"/>
        </w:rPr>
        <w:t>1.1项目概况：</w:t>
      </w:r>
      <w:r>
        <w:rPr>
          <w:rFonts w:hint="eastAsia" w:ascii="宋体" w:hAnsi="宋体" w:eastAsia="宋体" w:cs="宋体"/>
          <w:sz w:val="21"/>
          <w:szCs w:val="21"/>
          <w:lang w:val="en-US" w:eastAsia="zh-CN"/>
        </w:rPr>
        <w:t>本项目为集中采购项目。本项目拟采购中国银行龙岩分行本部2023年户外媒体广告投放。</w:t>
      </w:r>
    </w:p>
    <w:p>
      <w:pPr>
        <w:pageBreakBefore w:val="0"/>
        <w:kinsoku/>
        <w:overflowPunct/>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val="en-US" w:eastAsia="zh-CN"/>
        </w:rPr>
        <w:t>采购</w:t>
      </w:r>
      <w:r>
        <w:rPr>
          <w:rFonts w:hint="eastAsia" w:ascii="宋体" w:hAnsi="宋体" w:eastAsia="宋体" w:cs="宋体"/>
          <w:sz w:val="21"/>
          <w:szCs w:val="21"/>
        </w:rPr>
        <w:t>内容：</w:t>
      </w:r>
    </w:p>
    <w:tbl>
      <w:tblPr>
        <w:tblStyle w:val="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737"/>
        <w:gridCol w:w="167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89" w:type="pct"/>
            <w:shd w:val="clear" w:color="000000" w:fill="F2F2F2"/>
            <w:noWrap/>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采购包</w:t>
            </w:r>
          </w:p>
        </w:tc>
        <w:tc>
          <w:tcPr>
            <w:tcW w:w="2194" w:type="pct"/>
            <w:shd w:val="clear" w:color="000000" w:fill="F2F2F2"/>
            <w:noWrap/>
            <w:vAlign w:val="center"/>
          </w:tcPr>
          <w:p>
            <w:pPr>
              <w:widowControl/>
              <w:jc w:val="center"/>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广告投放内容</w:t>
            </w:r>
          </w:p>
        </w:tc>
        <w:tc>
          <w:tcPr>
            <w:tcW w:w="984" w:type="pct"/>
            <w:shd w:val="clear" w:color="000000" w:fill="F2F2F2"/>
            <w:noWrap/>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预估含税采购金额（万元）</w:t>
            </w:r>
          </w:p>
        </w:tc>
        <w:tc>
          <w:tcPr>
            <w:tcW w:w="1231" w:type="pct"/>
            <w:shd w:val="clear" w:color="000000" w:fill="F2F2F2"/>
            <w:noWrap/>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9" w:type="pct"/>
            <w:vMerge w:val="restart"/>
            <w:noWrap/>
            <w:vAlign w:val="center"/>
          </w:tcPr>
          <w:p>
            <w:pPr>
              <w:widowControl/>
              <w:spacing w:line="360" w:lineRule="auto"/>
              <w:jc w:val="center"/>
              <w:rPr>
                <w:rFonts w:ascii="宋体" w:hAnsi="宋体" w:cs="宋体"/>
                <w:kern w:val="0"/>
                <w:szCs w:val="21"/>
              </w:rPr>
            </w:pPr>
            <w:r>
              <w:rPr>
                <w:rFonts w:hint="eastAsia" w:ascii="宋体" w:hAnsi="宋体" w:cs="宋体"/>
                <w:kern w:val="0"/>
                <w:szCs w:val="21"/>
                <w:lang w:val="en-US" w:eastAsia="zh-CN"/>
              </w:rPr>
              <w:t>采购包</w:t>
            </w:r>
            <w:r>
              <w:rPr>
                <w:rFonts w:hint="eastAsia" w:ascii="宋体" w:hAnsi="宋体" w:cs="宋体"/>
                <w:kern w:val="0"/>
                <w:szCs w:val="21"/>
              </w:rPr>
              <w:t>1</w:t>
            </w:r>
          </w:p>
        </w:tc>
        <w:tc>
          <w:tcPr>
            <w:tcW w:w="2194"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家装分期/E分期/汽车分期/信用卡发卡；个金理财产品；个金负债类产品；个金支付结算类产品</w:t>
            </w:r>
          </w:p>
        </w:tc>
        <w:tc>
          <w:tcPr>
            <w:tcW w:w="984" w:type="pct"/>
            <w:vMerge w:val="restart"/>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15.00</w:t>
            </w:r>
          </w:p>
        </w:tc>
        <w:tc>
          <w:tcPr>
            <w:tcW w:w="1231" w:type="pct"/>
            <w:vMerge w:val="restart"/>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以竞争性磋商文件第五章服务规范要求为准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9" w:type="pct"/>
            <w:vMerge w:val="continue"/>
            <w:noWrap/>
            <w:vAlign w:val="center"/>
          </w:tcPr>
          <w:p>
            <w:pPr>
              <w:widowControl/>
              <w:spacing w:line="360" w:lineRule="auto"/>
              <w:jc w:val="center"/>
              <w:rPr>
                <w:rFonts w:hint="eastAsia" w:ascii="宋体" w:hAnsi="宋体" w:cs="宋体"/>
                <w:kern w:val="0"/>
                <w:szCs w:val="21"/>
                <w:lang w:val="en-US" w:eastAsia="zh-CN"/>
              </w:rPr>
            </w:pPr>
          </w:p>
        </w:tc>
        <w:tc>
          <w:tcPr>
            <w:tcW w:w="2194" w:type="pct"/>
            <w:vMerge w:val="continue"/>
            <w:vAlign w:val="center"/>
          </w:tcPr>
          <w:p>
            <w:pPr>
              <w:widowControl/>
              <w:spacing w:line="360" w:lineRule="auto"/>
              <w:jc w:val="center"/>
              <w:rPr>
                <w:rFonts w:hint="eastAsia" w:ascii="宋体" w:hAnsi="宋体" w:cs="宋体"/>
                <w:kern w:val="0"/>
                <w:szCs w:val="21"/>
              </w:rPr>
            </w:pPr>
          </w:p>
        </w:tc>
        <w:tc>
          <w:tcPr>
            <w:tcW w:w="984" w:type="pct"/>
            <w:vMerge w:val="continue"/>
            <w:vAlign w:val="center"/>
          </w:tcPr>
          <w:p>
            <w:pPr>
              <w:widowControl/>
              <w:spacing w:line="360" w:lineRule="auto"/>
              <w:jc w:val="center"/>
              <w:rPr>
                <w:rFonts w:hint="eastAsia" w:ascii="宋体" w:hAnsi="宋体" w:cs="宋体"/>
                <w:kern w:val="0"/>
                <w:szCs w:val="21"/>
                <w:lang w:val="en-US" w:eastAsia="zh-CN"/>
              </w:rPr>
            </w:pPr>
          </w:p>
        </w:tc>
        <w:tc>
          <w:tcPr>
            <w:tcW w:w="1231" w:type="pct"/>
            <w:vMerge w:val="continue"/>
            <w:vAlign w:val="center"/>
          </w:tcPr>
          <w:p>
            <w:pPr>
              <w:widowControl/>
              <w:spacing w:line="360" w:lineRule="auto"/>
              <w:jc w:val="center"/>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9" w:type="pct"/>
            <w:vMerge w:val="restart"/>
            <w:noWrap/>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采购包2</w:t>
            </w:r>
          </w:p>
        </w:tc>
        <w:tc>
          <w:tcPr>
            <w:tcW w:w="2194" w:type="pct"/>
            <w:vMerge w:val="restart"/>
            <w:vAlign w:val="center"/>
          </w:tcPr>
          <w:p>
            <w:pPr>
              <w:widowControl/>
              <w:spacing w:line="360" w:lineRule="auto"/>
              <w:jc w:val="center"/>
              <w:rPr>
                <w:rFonts w:hint="eastAsia" w:ascii="宋体" w:hAnsi="宋体" w:cs="宋体"/>
                <w:kern w:val="0"/>
                <w:szCs w:val="21"/>
                <w:lang w:val="en-US" w:eastAsia="zh-CN"/>
              </w:rPr>
            </w:pPr>
            <w:r>
              <w:rPr>
                <w:rFonts w:hint="eastAsia" w:ascii="宋体" w:hAnsi="宋体" w:cs="宋体"/>
                <w:kern w:val="0"/>
                <w:szCs w:val="21"/>
                <w:lang w:val="en-US" w:eastAsia="zh-CN"/>
              </w:rPr>
              <w:t>结合实际需求，投放公司业务产品等我行金融产品及中行品牌宣传等。</w:t>
            </w:r>
          </w:p>
        </w:tc>
        <w:tc>
          <w:tcPr>
            <w:tcW w:w="984" w:type="pct"/>
            <w:vMerge w:val="restart"/>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15.00</w:t>
            </w:r>
          </w:p>
        </w:tc>
        <w:tc>
          <w:tcPr>
            <w:tcW w:w="1231" w:type="pct"/>
            <w:vMerge w:val="continue"/>
            <w:vAlign w:val="center"/>
          </w:tcPr>
          <w:p>
            <w:pPr>
              <w:widowControl/>
              <w:spacing w:line="360" w:lineRule="auto"/>
              <w:jc w:val="center"/>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9" w:type="pct"/>
            <w:vMerge w:val="continue"/>
            <w:noWrap/>
            <w:vAlign w:val="center"/>
          </w:tcPr>
          <w:p>
            <w:pPr>
              <w:widowControl/>
              <w:spacing w:line="360" w:lineRule="auto"/>
              <w:jc w:val="center"/>
              <w:rPr>
                <w:rFonts w:hint="eastAsia" w:ascii="宋体" w:hAnsi="宋体" w:cs="宋体"/>
                <w:kern w:val="0"/>
                <w:szCs w:val="21"/>
                <w:lang w:val="en-US" w:eastAsia="zh-CN"/>
              </w:rPr>
            </w:pPr>
          </w:p>
        </w:tc>
        <w:tc>
          <w:tcPr>
            <w:tcW w:w="2194" w:type="pct"/>
            <w:vMerge w:val="continue"/>
            <w:vAlign w:val="center"/>
          </w:tcPr>
          <w:p>
            <w:pPr>
              <w:widowControl/>
              <w:spacing w:line="360" w:lineRule="auto"/>
              <w:jc w:val="center"/>
              <w:rPr>
                <w:rFonts w:hint="eastAsia" w:ascii="宋体" w:hAnsi="宋体" w:cs="宋体"/>
                <w:kern w:val="0"/>
                <w:szCs w:val="21"/>
                <w:lang w:val="en-US" w:eastAsia="zh-CN"/>
              </w:rPr>
            </w:pPr>
          </w:p>
        </w:tc>
        <w:tc>
          <w:tcPr>
            <w:tcW w:w="984" w:type="pct"/>
            <w:vMerge w:val="continue"/>
            <w:vAlign w:val="center"/>
          </w:tcPr>
          <w:p>
            <w:pPr>
              <w:widowControl/>
              <w:spacing w:line="360" w:lineRule="auto"/>
              <w:jc w:val="center"/>
              <w:rPr>
                <w:rFonts w:hint="eastAsia" w:ascii="宋体" w:hAnsi="宋体" w:cs="宋体"/>
                <w:kern w:val="0"/>
                <w:szCs w:val="21"/>
                <w:lang w:val="en-US" w:eastAsia="zh-CN"/>
              </w:rPr>
            </w:pPr>
          </w:p>
        </w:tc>
        <w:tc>
          <w:tcPr>
            <w:tcW w:w="1231" w:type="pct"/>
            <w:vMerge w:val="continue"/>
            <w:vAlign w:val="center"/>
          </w:tcPr>
          <w:p>
            <w:pPr>
              <w:widowControl/>
              <w:spacing w:line="360" w:lineRule="auto"/>
              <w:jc w:val="center"/>
              <w:rPr>
                <w:rFonts w:hint="eastAsia" w:ascii="宋体" w:hAnsi="宋体" w:cs="宋体"/>
                <w:kern w:val="0"/>
                <w:szCs w:val="21"/>
                <w:lang w:val="en-US" w:eastAsia="zh-CN"/>
              </w:rPr>
            </w:pPr>
          </w:p>
        </w:tc>
      </w:tr>
    </w:tbl>
    <w:p>
      <w:pPr>
        <w:adjustRightInd w:val="0"/>
        <w:snapToGrid w:val="0"/>
        <w:spacing w:line="360" w:lineRule="auto"/>
        <w:rPr>
          <w:rFonts w:ascii="宋体" w:hAnsi="宋体" w:cs="宋体"/>
          <w:szCs w:val="21"/>
          <w:highlight w:val="none"/>
        </w:rPr>
      </w:pPr>
      <w:r>
        <w:rPr>
          <w:rFonts w:hint="eastAsia" w:ascii="宋体" w:hAnsi="宋体" w:cs="宋体"/>
          <w:szCs w:val="21"/>
          <w:lang w:val="en-US" w:eastAsia="zh-CN"/>
        </w:rPr>
        <w:t>1.3</w:t>
      </w:r>
      <w:r>
        <w:rPr>
          <w:rFonts w:hint="eastAsia" w:ascii="宋体" w:hAnsi="宋体" w:cs="宋体"/>
          <w:szCs w:val="21"/>
        </w:rPr>
        <w:t>预估规模</w:t>
      </w: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w:t>
      </w:r>
      <w:r>
        <w:rPr>
          <w:rFonts w:hint="eastAsia" w:ascii="宋体" w:hAnsi="宋体" w:cs="宋体"/>
          <w:szCs w:val="21"/>
          <w:highlight w:val="none"/>
          <w:lang w:val="en-US" w:eastAsia="zh-CN"/>
        </w:rPr>
        <w:t>万</w:t>
      </w:r>
      <w:r>
        <w:rPr>
          <w:rFonts w:hint="eastAsia" w:ascii="宋体" w:hAnsi="宋体" w:cs="宋体"/>
          <w:szCs w:val="21"/>
          <w:highlight w:val="none"/>
        </w:rPr>
        <w:t>元（含税）</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1.4本项目设置最高折扣限价，最高折扣限价为100%，供应商应答报价高于最高折扣限价的，其应答将被否决。</w:t>
      </w:r>
    </w:p>
    <w:p>
      <w:pPr>
        <w:adjustRightInd w:val="0"/>
        <w:snapToGrid w:val="0"/>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1.5</w:t>
      </w:r>
      <w:r>
        <w:rPr>
          <w:rFonts w:hint="eastAsia" w:ascii="宋体" w:hAnsi="宋体" w:eastAsia="宋体" w:cs="宋体"/>
          <w:color w:val="000000" w:themeColor="text1"/>
          <w:highlight w:val="none"/>
          <w:lang w:val="en-US" w:eastAsia="zh-CN"/>
          <w14:textFill>
            <w14:solidFill>
              <w14:schemeClr w14:val="tx1"/>
            </w14:solidFill>
          </w14:textFill>
        </w:rPr>
        <w:t>应答</w:t>
      </w:r>
      <w:r>
        <w:rPr>
          <w:rFonts w:hint="eastAsia" w:ascii="宋体" w:hAnsi="宋体" w:eastAsia="宋体" w:cs="宋体"/>
          <w:szCs w:val="21"/>
          <w:highlight w:val="none"/>
          <w:lang w:val="en-US" w:eastAsia="zh-CN"/>
        </w:rPr>
        <w:t>保证金：</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20" w:type="pct"/>
            <w:shd w:val="clear" w:color="000000" w:fill="F2F2F2"/>
            <w:noWrap/>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采购包</w:t>
            </w:r>
          </w:p>
        </w:tc>
        <w:tc>
          <w:tcPr>
            <w:tcW w:w="3179" w:type="pct"/>
            <w:shd w:val="clear" w:color="000000" w:fill="F2F2F2"/>
            <w:noWrap/>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应答保证金（元）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0" w:type="pct"/>
            <w:noWrap/>
            <w:vAlign w:val="center"/>
          </w:tcPr>
          <w:p>
            <w:pPr>
              <w:widowControl/>
              <w:spacing w:line="360" w:lineRule="auto"/>
              <w:jc w:val="center"/>
              <w:rPr>
                <w:rFonts w:ascii="宋体" w:hAnsi="宋体" w:cs="宋体"/>
                <w:kern w:val="0"/>
                <w:szCs w:val="21"/>
              </w:rPr>
            </w:pPr>
            <w:r>
              <w:rPr>
                <w:rFonts w:hint="eastAsia" w:ascii="宋体" w:hAnsi="宋体" w:cs="宋体"/>
                <w:kern w:val="0"/>
                <w:szCs w:val="21"/>
                <w:lang w:val="en-US" w:eastAsia="zh-CN"/>
              </w:rPr>
              <w:t>采购包</w:t>
            </w:r>
            <w:r>
              <w:rPr>
                <w:rFonts w:hint="eastAsia" w:ascii="宋体" w:hAnsi="宋体" w:cs="宋体"/>
                <w:kern w:val="0"/>
                <w:szCs w:val="21"/>
              </w:rPr>
              <w:t>1</w:t>
            </w:r>
          </w:p>
        </w:tc>
        <w:tc>
          <w:tcPr>
            <w:tcW w:w="3179" w:type="pct"/>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1113.00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0" w:type="pct"/>
            <w:noWrap/>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采购包2</w:t>
            </w:r>
          </w:p>
        </w:tc>
        <w:tc>
          <w:tcPr>
            <w:tcW w:w="3179" w:type="pct"/>
            <w:vAlign w:val="center"/>
          </w:tcPr>
          <w:p>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1113.00</w:t>
            </w:r>
          </w:p>
        </w:tc>
      </w:tr>
    </w:tbl>
    <w:p>
      <w:pPr>
        <w:adjustRightInd w:val="0"/>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1.6采购包划分：本项目划分采购包，具体采购包划分情况详见1.2采购内容。本项目允许供应商同时成交的最多采购包数为【2】个。</w:t>
      </w:r>
    </w:p>
    <w:p>
      <w:pPr>
        <w:pageBreakBefore w:val="0"/>
        <w:numPr>
          <w:ilvl w:val="0"/>
          <w:numId w:val="0"/>
        </w:numPr>
        <w:kinsoku/>
        <w:overflowPunct/>
        <w:bidi w:val="0"/>
        <w:adjustRightInd w:val="0"/>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1.7本项目各采购包成交人数量及份额分配如下：</w:t>
      </w:r>
    </w:p>
    <w:tbl>
      <w:tblPr>
        <w:tblStyle w:val="6"/>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21"/>
        <w:gridCol w:w="2258"/>
        <w:gridCol w:w="1948"/>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3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采购包</w:t>
            </w:r>
          </w:p>
        </w:tc>
        <w:tc>
          <w:tcPr>
            <w:tcW w:w="22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预估含税采购金额（万元）</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成交</w:t>
            </w:r>
            <w:r>
              <w:rPr>
                <w:rFonts w:hint="eastAsia" w:asciiTheme="minorEastAsia" w:hAnsiTheme="minorEastAsia" w:eastAsiaTheme="minorEastAsia" w:cstheme="minorEastAsia"/>
                <w:color w:val="000000"/>
                <w:sz w:val="21"/>
                <w:szCs w:val="21"/>
              </w:rPr>
              <w:t>人数</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成交</w:t>
            </w:r>
            <w:r>
              <w:rPr>
                <w:rFonts w:hint="eastAsia" w:asciiTheme="minorEastAsia" w:hAnsiTheme="minorEastAsia" w:eastAsiaTheme="minorEastAsia" w:cstheme="minorEastAsia"/>
                <w:color w:val="000000"/>
                <w:sz w:val="21"/>
                <w:szCs w:val="21"/>
              </w:rPr>
              <w:t>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tcBorders>
              <w:top w:val="single" w:color="auto" w:sz="4" w:space="0"/>
              <w:left w:val="single" w:color="auto" w:sz="4" w:space="0"/>
              <w:right w:val="single" w:color="auto" w:sz="4" w:space="0"/>
            </w:tcBorders>
            <w:shd w:val="clear" w:color="auto" w:fill="FFFFFF"/>
            <w:noWrap w:val="0"/>
            <w:vAlign w:val="center"/>
          </w:tcPr>
          <w:p>
            <w:pPr>
              <w:widowControl/>
              <w:spacing w:line="360" w:lineRule="auto"/>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采购包</w:t>
            </w:r>
            <w:r>
              <w:rPr>
                <w:rFonts w:hint="eastAsia" w:asciiTheme="minorEastAsia" w:hAnsiTheme="minorEastAsia" w:eastAsiaTheme="minorEastAsia" w:cstheme="minorEastAsia"/>
                <w:kern w:val="0"/>
                <w:sz w:val="21"/>
                <w:szCs w:val="21"/>
              </w:rPr>
              <w:t>1</w:t>
            </w:r>
          </w:p>
        </w:tc>
        <w:tc>
          <w:tcPr>
            <w:tcW w:w="22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15.00</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lang w:val="en-US" w:eastAsia="zh-CN"/>
              </w:rPr>
              <w:t>1</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1" w:type="dxa"/>
            <w:tcBorders>
              <w:top w:val="single" w:color="auto" w:sz="4" w:space="0"/>
              <w:left w:val="single" w:color="auto" w:sz="4" w:space="0"/>
              <w:right w:val="single" w:color="auto" w:sz="4" w:space="0"/>
            </w:tcBorders>
            <w:shd w:val="clear" w:color="auto" w:fill="FFFFFF"/>
            <w:noWrap w:val="0"/>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采购包2</w:t>
            </w:r>
          </w:p>
        </w:tc>
        <w:tc>
          <w:tcPr>
            <w:tcW w:w="22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15.00</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lang w:val="en-US" w:eastAsia="zh-CN"/>
              </w:rPr>
              <w:t>1</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sz w:val="21"/>
                <w:szCs w:val="21"/>
                <w:lang w:val="en-US" w:eastAsia="zh-CN"/>
              </w:rPr>
              <w:t>100%</w:t>
            </w:r>
          </w:p>
        </w:tc>
      </w:tr>
    </w:tbl>
    <w:p>
      <w:pPr>
        <w:adjustRightInd w:val="0"/>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1.8★广告投放期限：自合同签订之日起至2023年12月31日止</w:t>
      </w:r>
      <w:r>
        <w:rPr>
          <w:rFonts w:hint="default" w:ascii="宋体" w:hAnsi="宋体" w:cs="宋体"/>
          <w:szCs w:val="21"/>
          <w:lang w:val="en-US" w:eastAsia="zh-CN"/>
        </w:rPr>
        <w:t>。</w:t>
      </w:r>
    </w:p>
    <w:p>
      <w:pPr>
        <w:spacing w:line="360" w:lineRule="auto"/>
        <w:ind w:left="158" w:hanging="158"/>
        <w:outlineLvl w:val="9"/>
      </w:pPr>
      <w:r>
        <w:rPr>
          <w:rFonts w:hint="eastAsia" w:ascii="宋体" w:hAnsi="宋体" w:eastAsia="宋体" w:cs="宋体"/>
          <w:b/>
          <w:color w:val="000000" w:themeColor="text1"/>
          <w:szCs w:val="21"/>
          <w:highlight w:val="none"/>
          <w:lang w:val="en-US" w:eastAsia="zh-CN"/>
          <w14:textFill>
            <w14:solidFill>
              <w14:schemeClr w14:val="tx1"/>
            </w14:solidFill>
          </w14:textFill>
        </w:rPr>
        <w:t>2.供应商</w:t>
      </w:r>
      <w:r>
        <w:rPr>
          <w:rFonts w:hint="eastAsia" w:ascii="宋体" w:hAnsi="宋体" w:eastAsia="宋体" w:cs="宋体"/>
          <w:b/>
          <w:color w:val="000000" w:themeColor="text1"/>
          <w:szCs w:val="21"/>
          <w:highlight w:val="none"/>
          <w14:textFill>
            <w14:solidFill>
              <w14:schemeClr w14:val="tx1"/>
            </w14:solidFill>
          </w14:textFill>
        </w:rPr>
        <w:t>资格要求</w:t>
      </w:r>
    </w:p>
    <w:p>
      <w:pPr>
        <w:pageBreakBefore w:val="0"/>
        <w:kinsoku/>
        <w:overflowPunct/>
        <w:bidi w:val="0"/>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2.1</w:t>
      </w:r>
      <w:r>
        <w:rPr>
          <w:rFonts w:hint="eastAsia" w:ascii="宋体" w:hAnsi="宋体" w:eastAsia="宋体" w:cs="宋体"/>
          <w:b/>
          <w:color w:val="000000" w:themeColor="text1"/>
          <w:szCs w:val="21"/>
          <w:highlight w:val="none"/>
          <w:lang w:val="en-US"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基本资格要求</w:t>
      </w:r>
    </w:p>
    <w:p>
      <w:pPr>
        <w:spacing w:line="360" w:lineRule="auto"/>
        <w:ind w:firstLine="424" w:firstLineChars="202"/>
        <w:rPr>
          <w:rFonts w:ascii="宋体" w:hAnsi="宋体" w:cs="宋体"/>
          <w:szCs w:val="21"/>
        </w:rPr>
      </w:pPr>
      <w:r>
        <w:rPr>
          <w:rFonts w:hint="eastAsia" w:ascii="宋体" w:hAnsi="宋体" w:cs="宋体"/>
          <w:szCs w:val="21"/>
        </w:rPr>
        <w:t>2.1.1</w:t>
      </w:r>
      <w:r>
        <w:rPr>
          <w:rFonts w:hint="eastAsia" w:ascii="宋体" w:hAnsi="宋体" w:cs="宋体"/>
          <w:szCs w:val="21"/>
          <w:lang w:val="en-US" w:eastAsia="zh-CN"/>
        </w:rPr>
        <w:t>供应商</w:t>
      </w:r>
      <w:r>
        <w:rPr>
          <w:rFonts w:hint="eastAsia" w:ascii="宋体" w:hAnsi="宋体" w:cs="宋体"/>
          <w:szCs w:val="21"/>
        </w:rPr>
        <w:t>应为中华人民共和国境内法律上和财务上独立的法人或依法登记注册的其他组织，合法运作并独立于</w:t>
      </w:r>
      <w:r>
        <w:rPr>
          <w:rFonts w:hint="eastAsia" w:ascii="宋体" w:hAnsi="宋体" w:cs="宋体"/>
          <w:szCs w:val="21"/>
          <w:lang w:val="en-US" w:eastAsia="zh-CN"/>
        </w:rPr>
        <w:t>采购</w:t>
      </w:r>
      <w:r>
        <w:rPr>
          <w:rFonts w:hint="eastAsia" w:ascii="宋体" w:hAnsi="宋体" w:cs="宋体"/>
          <w:szCs w:val="21"/>
        </w:rPr>
        <w:t>人和</w:t>
      </w:r>
      <w:r>
        <w:rPr>
          <w:rFonts w:hint="eastAsia" w:ascii="宋体" w:hAnsi="宋体" w:cs="宋体"/>
          <w:szCs w:val="21"/>
          <w:lang w:val="en-US" w:eastAsia="zh-CN"/>
        </w:rPr>
        <w:t>采购</w:t>
      </w:r>
      <w:r>
        <w:rPr>
          <w:rFonts w:hint="eastAsia" w:ascii="宋体" w:hAnsi="宋体" w:cs="宋体"/>
          <w:szCs w:val="21"/>
        </w:rPr>
        <w:t>代理机构。</w:t>
      </w:r>
    </w:p>
    <w:p>
      <w:pPr>
        <w:spacing w:line="360" w:lineRule="auto"/>
        <w:ind w:firstLine="424" w:firstLineChars="202"/>
        <w:rPr>
          <w:rFonts w:ascii="宋体" w:hAnsi="宋体" w:cs="宋体"/>
          <w:szCs w:val="21"/>
        </w:rPr>
      </w:pPr>
      <w:r>
        <w:rPr>
          <w:rFonts w:hint="eastAsia" w:ascii="宋体" w:hAnsi="宋体" w:cs="宋体"/>
          <w:szCs w:val="21"/>
        </w:rPr>
        <w:t>2.1.2本次</w:t>
      </w:r>
      <w:r>
        <w:rPr>
          <w:rFonts w:hint="eastAsia" w:ascii="宋体" w:hAnsi="宋体" w:cs="宋体"/>
          <w:szCs w:val="21"/>
          <w:lang w:eastAsia="zh-CN"/>
        </w:rPr>
        <w:t>竞争性磋商</w:t>
      </w:r>
      <w:r>
        <w:rPr>
          <w:rFonts w:hint="eastAsia" w:ascii="宋体" w:hAnsi="宋体" w:cs="宋体"/>
          <w:szCs w:val="21"/>
        </w:rPr>
        <w:t>不接受联合体</w:t>
      </w:r>
      <w:r>
        <w:rPr>
          <w:rFonts w:hint="eastAsia" w:ascii="宋体" w:hAnsi="宋体" w:cs="宋体"/>
          <w:szCs w:val="21"/>
          <w:lang w:val="en-US" w:eastAsia="zh-CN"/>
        </w:rPr>
        <w:t>应答</w:t>
      </w:r>
      <w:r>
        <w:rPr>
          <w:rFonts w:hint="eastAsia" w:ascii="宋体" w:hAnsi="宋体" w:cs="宋体"/>
          <w:szCs w:val="21"/>
        </w:rPr>
        <w:t>。</w:t>
      </w:r>
    </w:p>
    <w:p>
      <w:pPr>
        <w:spacing w:line="360" w:lineRule="auto"/>
        <w:ind w:firstLine="424" w:firstLineChars="202"/>
        <w:rPr>
          <w:rFonts w:hint="eastAsia" w:ascii="宋体" w:hAnsi="宋体" w:cs="宋体"/>
          <w:szCs w:val="21"/>
          <w:highlight w:val="none"/>
        </w:rPr>
      </w:pPr>
      <w:r>
        <w:rPr>
          <w:rFonts w:hint="eastAsia" w:ascii="宋体" w:hAnsi="宋体" w:cs="宋体"/>
          <w:szCs w:val="21"/>
        </w:rPr>
        <w:t>2.1.3</w:t>
      </w:r>
      <w:r>
        <w:rPr>
          <w:rFonts w:hint="eastAsia" w:ascii="宋体" w:hAnsi="宋体" w:cs="宋体"/>
          <w:szCs w:val="21"/>
          <w:lang w:val="en-US" w:eastAsia="zh-CN"/>
        </w:rPr>
        <w:t>供应商</w:t>
      </w:r>
      <w:r>
        <w:rPr>
          <w:rFonts w:hint="eastAsia" w:ascii="宋体" w:hAnsi="宋体" w:cs="宋体"/>
          <w:szCs w:val="21"/>
        </w:rPr>
        <w:t>的法定代表人或负责人为同一人或者存在控股、管理关系的不同</w:t>
      </w:r>
      <w:r>
        <w:rPr>
          <w:rFonts w:hint="eastAsia" w:ascii="宋体" w:hAnsi="宋体" w:cs="宋体"/>
          <w:szCs w:val="21"/>
          <w:lang w:val="en-US" w:eastAsia="zh-CN"/>
        </w:rPr>
        <w:t>供应商</w:t>
      </w:r>
      <w:r>
        <w:rPr>
          <w:rFonts w:hint="eastAsia" w:ascii="宋体" w:hAnsi="宋体" w:cs="宋体"/>
          <w:szCs w:val="21"/>
        </w:rPr>
        <w:t>，不得参加同一</w:t>
      </w:r>
      <w:r>
        <w:rPr>
          <w:rFonts w:hint="eastAsia" w:ascii="宋体" w:hAnsi="宋体" w:cs="宋体"/>
          <w:szCs w:val="21"/>
          <w:highlight w:val="none"/>
          <w:lang w:val="en-US" w:eastAsia="zh-CN"/>
        </w:rPr>
        <w:t>采购</w:t>
      </w:r>
      <w:r>
        <w:rPr>
          <w:rFonts w:hint="eastAsia" w:ascii="宋体" w:hAnsi="宋体" w:cs="宋体"/>
          <w:szCs w:val="21"/>
          <w:highlight w:val="none"/>
        </w:rPr>
        <w:t>包</w:t>
      </w:r>
      <w:r>
        <w:rPr>
          <w:rFonts w:hint="eastAsia" w:ascii="宋体" w:hAnsi="宋体" w:cs="宋体"/>
          <w:szCs w:val="21"/>
          <w:highlight w:val="none"/>
          <w:lang w:val="en-US" w:eastAsia="zh-CN"/>
        </w:rPr>
        <w:t>应答</w:t>
      </w:r>
      <w:r>
        <w:rPr>
          <w:rFonts w:hint="eastAsia" w:ascii="宋体" w:hAnsi="宋体" w:cs="宋体"/>
          <w:szCs w:val="21"/>
          <w:highlight w:val="none"/>
        </w:rPr>
        <w:t>或者未划分</w:t>
      </w:r>
      <w:r>
        <w:rPr>
          <w:rFonts w:hint="eastAsia" w:ascii="宋体" w:hAnsi="宋体" w:cs="宋体"/>
          <w:szCs w:val="21"/>
          <w:highlight w:val="none"/>
          <w:lang w:val="en-US" w:eastAsia="zh-CN"/>
        </w:rPr>
        <w:t>采购</w:t>
      </w:r>
      <w:r>
        <w:rPr>
          <w:rFonts w:hint="eastAsia" w:ascii="宋体" w:hAnsi="宋体" w:cs="宋体"/>
          <w:szCs w:val="21"/>
          <w:highlight w:val="none"/>
        </w:rPr>
        <w:t>包的同一</w:t>
      </w:r>
      <w:r>
        <w:rPr>
          <w:rFonts w:hint="eastAsia" w:ascii="宋体" w:hAnsi="宋体" w:cs="宋体"/>
          <w:szCs w:val="21"/>
          <w:highlight w:val="none"/>
          <w:lang w:val="en-US" w:eastAsia="zh-CN"/>
        </w:rPr>
        <w:t>采购</w:t>
      </w:r>
      <w:r>
        <w:rPr>
          <w:rFonts w:hint="eastAsia" w:ascii="宋体" w:hAnsi="宋体" w:cs="宋体"/>
          <w:szCs w:val="21"/>
          <w:highlight w:val="none"/>
        </w:rPr>
        <w:t>项目</w:t>
      </w:r>
      <w:r>
        <w:rPr>
          <w:rFonts w:hint="eastAsia" w:ascii="宋体" w:hAnsi="宋体" w:cs="宋体"/>
          <w:szCs w:val="21"/>
          <w:highlight w:val="none"/>
          <w:lang w:val="en-US" w:eastAsia="zh-CN"/>
        </w:rPr>
        <w:t>应答</w:t>
      </w:r>
      <w:r>
        <w:rPr>
          <w:rFonts w:hint="eastAsia" w:ascii="宋体" w:hAnsi="宋体" w:cs="宋体"/>
          <w:szCs w:val="21"/>
          <w:highlight w:val="none"/>
        </w:rPr>
        <w:t>。</w:t>
      </w:r>
    </w:p>
    <w:p>
      <w:pPr>
        <w:spacing w:line="360" w:lineRule="auto"/>
        <w:ind w:firstLine="424" w:firstLineChars="202"/>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2.1.</w:t>
      </w:r>
      <w:r>
        <w:rPr>
          <w:rFonts w:hint="eastAsia" w:ascii="宋体" w:hAnsi="宋体" w:cs="宋体"/>
          <w:szCs w:val="21"/>
          <w:highlight w:val="none"/>
          <w:lang w:val="en-US" w:eastAsia="zh-CN"/>
        </w:rPr>
        <w:t>4供应商须承诺成交后在龙岩市新罗区设有固定经营场所及相对稳定从业人员</w:t>
      </w:r>
      <w:r>
        <w:rPr>
          <w:rFonts w:hint="eastAsia" w:ascii="宋体" w:hAnsi="宋体" w:eastAsia="宋体" w:cs="宋体"/>
          <w:szCs w:val="21"/>
          <w:highlight w:val="none"/>
          <w:lang w:val="en-US" w:eastAsia="zh-CN"/>
        </w:rPr>
        <w:t>。</w:t>
      </w:r>
    </w:p>
    <w:p>
      <w:pPr>
        <w:pageBreakBefore w:val="0"/>
        <w:kinsoku/>
        <w:overflowPunct/>
        <w:bidi w:val="0"/>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3.资格审查方法</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本项目将进行资格后审，资格审查标准和内容见</w:t>
      </w:r>
      <w:r>
        <w:rPr>
          <w:rFonts w:hint="eastAsia" w:ascii="宋体" w:hAnsi="宋体" w:cs="宋体"/>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文件第三章“评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办法”，凡未通过资格后审的</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，其</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将被否决。</w:t>
      </w:r>
    </w:p>
    <w:p>
      <w:pPr>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b/>
          <w:color w:val="000000" w:themeColor="text1"/>
          <w:szCs w:val="21"/>
          <w:highlight w:val="none"/>
          <w14:textFill>
            <w14:solidFill>
              <w14:schemeClr w14:val="tx1"/>
            </w14:solidFill>
          </w14:textFill>
        </w:rPr>
        <w:t>文件的获取</w:t>
      </w:r>
    </w:p>
    <w:p>
      <w:pPr>
        <w:pageBreakBefore w:val="0"/>
        <w:tabs>
          <w:tab w:val="left" w:pos="709"/>
        </w:tabs>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w:t>
      </w:r>
      <w:r>
        <w:rPr>
          <w:rFonts w:hint="eastAsia" w:ascii="宋体" w:hAnsi="宋体" w:cs="宋体"/>
          <w:color w:val="000000" w:themeColor="text1"/>
          <w:szCs w:val="21"/>
          <w:highlight w:val="none"/>
          <w:lang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文件获取时间:【202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分至202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分】（北京时间，下同）。</w:t>
      </w:r>
    </w:p>
    <w:p>
      <w:pPr>
        <w:pageBreakBefore w:val="0"/>
        <w:tabs>
          <w:tab w:val="left" w:pos="993"/>
        </w:tabs>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w:t>
      </w:r>
      <w:r>
        <w:rPr>
          <w:rFonts w:hint="eastAsia" w:ascii="宋体" w:hAnsi="宋体" w:cs="宋体"/>
          <w:color w:val="000000" w:themeColor="text1"/>
          <w:szCs w:val="21"/>
          <w:highlight w:val="none"/>
          <w:lang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文件获取方式：使用</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代理机构电子招投标平台或“链捷招”的微信公众号进行缴费及购买文件。关注</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代理机构电子招投标平台（https://zb.chinaccsscm.cn/）并根据提示完成注册、</w:t>
      </w:r>
      <w:r>
        <w:rPr>
          <w:rFonts w:hint="eastAsia" w:ascii="宋体" w:hAnsi="宋体" w:cs="宋体"/>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文件费用支付或关注“链捷招”的微信公众号，在“链捷招-投标”中根据提示完成</w:t>
      </w:r>
      <w:r>
        <w:rPr>
          <w:rFonts w:hint="eastAsia" w:ascii="宋体" w:hAnsi="宋体" w:cs="宋体"/>
          <w:color w:val="000000" w:themeColor="text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文件费用支付（注册审核联系商务专员，电话：18060753032）</w:t>
      </w:r>
      <w:r>
        <w:rPr>
          <w:rFonts w:hint="eastAsia" w:ascii="宋体" w:hAnsi="宋体" w:eastAsia="宋体" w:cs="宋体"/>
          <w:color w:val="000000" w:themeColor="text1"/>
          <w:szCs w:val="21"/>
          <w:highlight w:val="none"/>
          <w:lang w:eastAsia="zh-CN"/>
          <w14:textFill>
            <w14:solidFill>
              <w14:schemeClr w14:val="tx1"/>
            </w14:solidFill>
          </w14:textFill>
        </w:rPr>
        <w:t>。</w:t>
      </w:r>
    </w:p>
    <w:p>
      <w:pPr>
        <w:pageBreakBefore w:val="0"/>
        <w:tabs>
          <w:tab w:val="left" w:pos="142"/>
        </w:tabs>
        <w:kinsoku/>
        <w:overflowPunct/>
        <w:bidi w:val="0"/>
        <w:spacing w:line="360" w:lineRule="auto"/>
        <w:ind w:firstLine="425" w:firstLineChars="199"/>
        <w:rPr>
          <w:rFonts w:hint="eastAsia"/>
          <w:highlight w:val="none"/>
          <w:lang w:eastAsia="zh-CN"/>
        </w:rPr>
      </w:pPr>
      <w:r>
        <w:rPr>
          <w:rFonts w:hint="eastAsia" w:ascii="宋体" w:hAnsi="宋体" w:eastAsia="宋体" w:cs="宋体"/>
          <w:color w:val="000000" w:themeColor="text1"/>
          <w:spacing w:val="2"/>
          <w:szCs w:val="21"/>
          <w:highlight w:val="none"/>
          <w14:textFill>
            <w14:solidFill>
              <w14:schemeClr w14:val="tx1"/>
            </w14:solidFill>
          </w14:textFill>
        </w:rPr>
        <w:t>‬‬‬‬‬‬4.</w:t>
      </w:r>
      <w:r>
        <w:rPr>
          <w:rFonts w:hint="eastAsia" w:ascii="宋体" w:hAnsi="宋体" w:eastAsia="宋体" w:cs="宋体"/>
          <w:color w:val="000000" w:themeColor="text1"/>
          <w:spacing w:val="2"/>
          <w:szCs w:val="21"/>
          <w:highlight w:val="none"/>
          <w:lang w:val="en-US" w:eastAsia="zh-CN"/>
          <w14:textFill>
            <w14:solidFill>
              <w14:schemeClr w14:val="tx1"/>
            </w14:solidFill>
          </w14:textFill>
        </w:rPr>
        <w:t>3</w:t>
      </w:r>
      <w:r>
        <w:rPr>
          <w:rFonts w:hint="eastAsia" w:ascii="宋体" w:hAnsi="宋体" w:cs="宋体"/>
          <w:color w:val="000000" w:themeColor="text1"/>
          <w:spacing w:val="2"/>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pacing w:val="2"/>
          <w:szCs w:val="21"/>
          <w:highlight w:val="none"/>
          <w14:textFill>
            <w14:solidFill>
              <w14:schemeClr w14:val="tx1"/>
            </w14:solidFill>
          </w14:textFill>
        </w:rPr>
        <w:t>文件每套售价【300】元人民币，售后不退。</w:t>
      </w:r>
    </w:p>
    <w:p>
      <w:pPr>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lang w:eastAsia="zh-CN"/>
          <w14:textFill>
            <w14:solidFill>
              <w14:schemeClr w14:val="tx1"/>
            </w14:solidFill>
          </w14:textFill>
        </w:rPr>
        <w:t>应答</w:t>
      </w:r>
      <w:r>
        <w:rPr>
          <w:rFonts w:hint="eastAsia" w:ascii="宋体" w:hAnsi="宋体" w:eastAsia="宋体" w:cs="宋体"/>
          <w:b/>
          <w:color w:val="000000" w:themeColor="text1"/>
          <w:szCs w:val="21"/>
          <w:highlight w:val="none"/>
          <w14:textFill>
            <w14:solidFill>
              <w14:schemeClr w14:val="tx1"/>
            </w14:solidFill>
          </w14:textFill>
        </w:rPr>
        <w:t>文件的递交</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文件递交截止时间（即</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截止时间）为：【202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19</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纸质</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文件递交地点：随行易交易（龙岩）公共资源交易平台（龙岩市新罗区龙岩大道商务板块龙工大厦3楼）开标室</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使用邮寄方式，</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应为</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文件预留出足够的邮寄时间，逾期不接收，因邮寄或快递的原因未在</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截止时间前送达指定地点的，一切责任由</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负责。【文件寄出后第一时间将邮寄、快递凭证通过邮件方式发送</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代理机构邮箱】</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本项目将于上述同一时间、地点进行</w:t>
      </w:r>
      <w:r>
        <w:rPr>
          <w:rFonts w:hint="eastAsia" w:ascii="宋体" w:hAnsi="宋体" w:cs="宋体"/>
          <w:color w:val="000000" w:themeColor="text1"/>
          <w:szCs w:val="21"/>
          <w:highlight w:val="none"/>
          <w:lang w:eastAsia="zh-CN"/>
          <w14:textFill>
            <w14:solidFill>
              <w14:schemeClr w14:val="tx1"/>
            </w14:solidFill>
          </w14:textFill>
        </w:rPr>
        <w:t>唱价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代理机构】邀请</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的法定代表人/负责人或者其委托代理人准时参加。</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竞争性磋商</w:t>
      </w:r>
      <w:r>
        <w:rPr>
          <w:rFonts w:hint="eastAsia" w:ascii="宋体" w:hAnsi="宋体" w:eastAsia="宋体" w:cs="宋体"/>
          <w:color w:val="000000" w:themeColor="text1"/>
          <w:szCs w:val="21"/>
          <w:highlight w:val="none"/>
          <w14:textFill>
            <w14:solidFill>
              <w14:schemeClr w14:val="tx1"/>
            </w14:solidFill>
          </w14:textFill>
        </w:rPr>
        <w:t>文件要求递交纸质</w:t>
      </w:r>
      <w:r>
        <w:rPr>
          <w:rFonts w:hint="eastAsia" w:ascii="宋体" w:hAnsi="宋体" w:eastAsia="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文件的，出现以下情形之一时，【</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代理机构】不予接收：</w:t>
      </w:r>
    </w:p>
    <w:p>
      <w:pPr>
        <w:pageBreakBefore w:val="0"/>
        <w:kinsoku/>
        <w:overflowPunct/>
        <w:bidi w:val="0"/>
        <w:adjustRightInd w:val="0"/>
        <w:snapToGrid w:val="0"/>
        <w:spacing w:line="360" w:lineRule="auto"/>
        <w:ind w:firstLine="428"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5.</w:t>
      </w:r>
      <w:r>
        <w:rPr>
          <w:rFonts w:hint="eastAsia" w:ascii="宋体" w:hAnsi="宋体" w:cs="宋体"/>
          <w:color w:val="000000" w:themeColor="text1"/>
          <w:spacing w:val="2"/>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Cs w:val="21"/>
          <w:highlight w:val="none"/>
          <w14:textFill>
            <w14:solidFill>
              <w14:schemeClr w14:val="tx1"/>
            </w14:solidFill>
          </w14:textFill>
        </w:rPr>
        <w:t>.1逾期送达或者未送达指定地点的；</w:t>
      </w:r>
    </w:p>
    <w:p>
      <w:pPr>
        <w:pageBreakBefore w:val="0"/>
        <w:kinsoku/>
        <w:overflowPunct/>
        <w:bidi w:val="0"/>
        <w:adjustRightInd w:val="0"/>
        <w:snapToGrid w:val="0"/>
        <w:spacing w:line="360" w:lineRule="auto"/>
        <w:ind w:firstLine="428"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5.</w:t>
      </w:r>
      <w:r>
        <w:rPr>
          <w:rFonts w:hint="eastAsia" w:ascii="宋体" w:hAnsi="宋体" w:cs="宋体"/>
          <w:color w:val="000000" w:themeColor="text1"/>
          <w:spacing w:val="2"/>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Cs w:val="21"/>
          <w:highlight w:val="none"/>
          <w14:textFill>
            <w14:solidFill>
              <w14:schemeClr w14:val="tx1"/>
            </w14:solidFill>
          </w14:textFill>
        </w:rPr>
        <w:t>.2未按照</w:t>
      </w:r>
      <w:r>
        <w:rPr>
          <w:rFonts w:hint="eastAsia" w:ascii="宋体" w:hAnsi="宋体" w:cs="宋体"/>
          <w:color w:val="000000" w:themeColor="text1"/>
          <w:spacing w:val="2"/>
          <w:szCs w:val="21"/>
          <w:highlight w:val="none"/>
          <w:lang w:eastAsia="zh-CN"/>
          <w14:textFill>
            <w14:solidFill>
              <w14:schemeClr w14:val="tx1"/>
            </w14:solidFill>
          </w14:textFill>
        </w:rPr>
        <w:t>竞争性磋商</w:t>
      </w:r>
      <w:r>
        <w:rPr>
          <w:rFonts w:hint="eastAsia" w:ascii="宋体" w:hAnsi="宋体" w:eastAsia="宋体" w:cs="宋体"/>
          <w:color w:val="000000" w:themeColor="text1"/>
          <w:spacing w:val="2"/>
          <w:szCs w:val="21"/>
          <w:highlight w:val="none"/>
          <w14:textFill>
            <w14:solidFill>
              <w14:schemeClr w14:val="tx1"/>
            </w14:solidFill>
          </w14:textFill>
        </w:rPr>
        <w:t>文件要求密封的；</w:t>
      </w:r>
    </w:p>
    <w:p>
      <w:pPr>
        <w:pageBreakBefore w:val="0"/>
        <w:kinsoku/>
        <w:overflowPunct/>
        <w:bidi w:val="0"/>
        <w:adjustRightInd w:val="0"/>
        <w:snapToGrid w:val="0"/>
        <w:spacing w:line="360" w:lineRule="auto"/>
        <w:ind w:firstLine="428"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5.</w:t>
      </w:r>
      <w:r>
        <w:rPr>
          <w:rFonts w:hint="eastAsia" w:ascii="宋体" w:hAnsi="宋体" w:cs="宋体"/>
          <w:color w:val="000000" w:themeColor="text1"/>
          <w:spacing w:val="2"/>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Cs w:val="21"/>
          <w:highlight w:val="none"/>
          <w14:textFill>
            <w14:solidFill>
              <w14:schemeClr w14:val="tx1"/>
            </w14:solidFill>
          </w14:textFill>
        </w:rPr>
        <w:t>.3未按照本公告要求获得本项目</w:t>
      </w:r>
      <w:r>
        <w:rPr>
          <w:rFonts w:hint="eastAsia" w:ascii="宋体" w:hAnsi="宋体" w:cs="宋体"/>
          <w:color w:val="000000" w:themeColor="text1"/>
          <w:spacing w:val="2"/>
          <w:szCs w:val="21"/>
          <w:highlight w:val="none"/>
          <w:lang w:eastAsia="zh-CN"/>
          <w14:textFill>
            <w14:solidFill>
              <w14:schemeClr w14:val="tx1"/>
            </w14:solidFill>
          </w14:textFill>
        </w:rPr>
        <w:t>竞争性磋商</w:t>
      </w:r>
      <w:r>
        <w:rPr>
          <w:rFonts w:hint="eastAsia" w:ascii="宋体" w:hAnsi="宋体" w:eastAsia="宋体" w:cs="宋体"/>
          <w:color w:val="000000" w:themeColor="text1"/>
          <w:spacing w:val="2"/>
          <w:szCs w:val="21"/>
          <w:highlight w:val="none"/>
          <w14:textFill>
            <w14:solidFill>
              <w14:schemeClr w14:val="tx1"/>
            </w14:solidFill>
          </w14:textFill>
        </w:rPr>
        <w:t>文件的。</w:t>
      </w:r>
    </w:p>
    <w:p>
      <w:pPr>
        <w:pageBreakBefore w:val="0"/>
        <w:numPr>
          <w:ilvl w:val="0"/>
          <w:numId w:val="0"/>
        </w:numPr>
        <w:kinsoku/>
        <w:overflowPunct/>
        <w:bidi w:val="0"/>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6.</w:t>
      </w:r>
      <w:r>
        <w:rPr>
          <w:rFonts w:hint="eastAsia" w:ascii="宋体" w:hAnsi="宋体" w:eastAsia="宋体" w:cs="宋体"/>
          <w:b/>
          <w:color w:val="000000" w:themeColor="text1"/>
          <w:szCs w:val="21"/>
          <w:highlight w:val="none"/>
          <w14:textFill>
            <w14:solidFill>
              <w14:schemeClr w14:val="tx1"/>
            </w14:solidFill>
          </w14:textFill>
        </w:rPr>
        <w:t>样品的递交</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6.1样品递交的时间、地点：</w:t>
      </w:r>
      <w:r>
        <w:rPr>
          <w:rFonts w:hint="eastAsia" w:ascii="宋体" w:hAnsi="宋体" w:eastAsia="宋体" w:cs="宋体"/>
          <w:color w:val="000000" w:themeColor="text1"/>
          <w:highlight w:val="none"/>
          <w:u w:val="single"/>
          <w14:textFill>
            <w14:solidFill>
              <w14:schemeClr w14:val="tx1"/>
            </w14:solidFill>
          </w14:textFill>
        </w:rPr>
        <w:t>【不适用】</w:t>
      </w:r>
    </w:p>
    <w:p>
      <w:pPr>
        <w:pageBreakBefore w:val="0"/>
        <w:kinsoku/>
        <w:overflowPunct/>
        <w:bidi w:val="0"/>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6.2检测相关费用：</w:t>
      </w:r>
      <w:r>
        <w:rPr>
          <w:rFonts w:hint="eastAsia" w:ascii="宋体" w:hAnsi="宋体" w:eastAsia="宋体" w:cs="宋体"/>
          <w:color w:val="000000" w:themeColor="text1"/>
          <w:highlight w:val="none"/>
          <w:u w:val="single"/>
          <w14:textFill>
            <w14:solidFill>
              <w14:schemeClr w14:val="tx1"/>
            </w14:solidFill>
          </w14:textFill>
        </w:rPr>
        <w:t>【不适用】</w:t>
      </w:r>
    </w:p>
    <w:p>
      <w:pPr>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val="en-US" w:eastAsia="zh-CN"/>
          <w14:textFill>
            <w14:solidFill>
              <w14:schemeClr w14:val="tx1"/>
            </w14:solidFill>
          </w14:textFill>
        </w:rPr>
        <w:t>.发布公告的媒介</w:t>
      </w:r>
    </w:p>
    <w:p>
      <w:pPr>
        <w:pageBreakBefore w:val="0"/>
        <w:kinsoku/>
        <w:overflowPunct/>
        <w:bidi w:val="0"/>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bookmarkStart w:id="5" w:name="_Hlk528490864"/>
      <w:r>
        <w:rPr>
          <w:rFonts w:hint="eastAsia" w:ascii="宋体" w:hAnsi="宋体" w:eastAsia="宋体" w:cs="宋体"/>
          <w:b w:val="0"/>
          <w:bCs/>
          <w:color w:val="000000" w:themeColor="text1"/>
          <w:szCs w:val="21"/>
          <w:highlight w:val="none"/>
          <w:lang w:val="en-US" w:eastAsia="zh-CN"/>
          <w14:textFill>
            <w14:solidFill>
              <w14:schemeClr w14:val="tx1"/>
            </w14:solidFill>
          </w14:textFill>
        </w:rPr>
        <w:t>本</w:t>
      </w:r>
      <w:r>
        <w:rPr>
          <w:rFonts w:hint="eastAsia" w:ascii="宋体" w:hAnsi="宋体" w:cs="宋体"/>
          <w:b w:val="0"/>
          <w:bCs/>
          <w:color w:val="000000" w:themeColor="text1"/>
          <w:szCs w:val="21"/>
          <w:highlight w:val="none"/>
          <w:lang w:val="en-US" w:eastAsia="zh-CN"/>
          <w14:textFill>
            <w14:solidFill>
              <w14:schemeClr w14:val="tx1"/>
            </w14:solidFill>
          </w14:textFill>
        </w:rPr>
        <w:t>采购</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公告在中国采购与招标网（www.chinabidding.com.cn）、链捷招（ https://zb.chinaccsscm.cn/）上发布，其他媒介转载无效。</w:t>
      </w:r>
      <w:bookmarkEnd w:id="5"/>
    </w:p>
    <w:p>
      <w:pPr>
        <w:pageBreakBefore w:val="0"/>
        <w:numPr>
          <w:ilvl w:val="0"/>
          <w:numId w:val="0"/>
        </w:numPr>
        <w:kinsoku/>
        <w:overflowPunct/>
        <w:bidi w:val="0"/>
        <w:adjustRightInd w:val="0"/>
        <w:snapToGrid w:val="0"/>
        <w:spacing w:line="360" w:lineRule="auto"/>
        <w:ind w:left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异议接收</w:t>
      </w:r>
      <w:r>
        <w:rPr>
          <w:rFonts w:hint="eastAsia" w:ascii="宋体" w:hAnsi="宋体" w:eastAsia="宋体" w:cs="宋体"/>
          <w:b/>
          <w:color w:val="000000" w:themeColor="text1"/>
          <w:szCs w:val="21"/>
          <w:highlight w:val="none"/>
          <w:lang w:val="en-US" w:eastAsia="zh-CN"/>
          <w14:textFill>
            <w14:solidFill>
              <w14:schemeClr w14:val="tx1"/>
            </w14:solidFill>
          </w14:textFill>
        </w:rPr>
        <w:t>及联系</w:t>
      </w:r>
      <w:r>
        <w:rPr>
          <w:rFonts w:hint="eastAsia" w:ascii="宋体" w:hAnsi="宋体" w:eastAsia="宋体" w:cs="宋体"/>
          <w:b/>
          <w:color w:val="000000" w:themeColor="text1"/>
          <w:szCs w:val="21"/>
          <w:highlight w:val="none"/>
          <w14:textFill>
            <w14:solidFill>
              <w14:schemeClr w14:val="tx1"/>
            </w14:solidFill>
          </w14:textFill>
        </w:rPr>
        <w:t>方式</w:t>
      </w:r>
    </w:p>
    <w:p>
      <w:pPr>
        <w:pageBreakBefore w:val="0"/>
        <w:kinsoku/>
        <w:overflowPunct/>
        <w:bidi w:val="0"/>
        <w:adjustRightInd w:val="0"/>
        <w:snapToGrid w:val="0"/>
        <w:spacing w:line="360" w:lineRule="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000000" w:themeColor="text1"/>
          <w:szCs w:val="21"/>
          <w:highlight w:val="none"/>
          <w:lang w:val="en-US" w:eastAsia="zh-CN"/>
          <w14:textFill>
            <w14:solidFill>
              <w14:schemeClr w14:val="tx1"/>
            </w14:solidFill>
          </w14:textFill>
        </w:rPr>
        <w:t>.1联系方式</w:t>
      </w:r>
    </w:p>
    <w:p>
      <w:pPr>
        <w:pageBreakBefore w:val="0"/>
        <w:kinsoku/>
        <w:overflowPunct/>
        <w:bidi w:val="0"/>
        <w:adjustRightInd w:val="0"/>
        <w:snapToGrid w:val="0"/>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 购</w:t>
      </w:r>
      <w:r>
        <w:rPr>
          <w:rFonts w:hint="eastAsia" w:ascii="宋体" w:hAnsi="宋体" w:eastAsia="宋体" w:cs="宋体"/>
          <w:color w:val="000000" w:themeColor="text1"/>
          <w:szCs w:val="21"/>
          <w:highlight w:val="none"/>
          <w14:textFill>
            <w14:solidFill>
              <w14:schemeClr w14:val="tx1"/>
            </w14:solidFill>
          </w14:textFill>
        </w:rPr>
        <w:t xml:space="preserve"> 人：</w:t>
      </w:r>
      <w:r>
        <w:rPr>
          <w:rFonts w:hint="eastAsia" w:ascii="宋体" w:hAnsi="宋体" w:cs="宋体"/>
          <w:color w:val="000000" w:themeColor="text1"/>
          <w:szCs w:val="21"/>
          <w:highlight w:val="none"/>
          <w:lang w:val="en-US" w:eastAsia="zh-CN"/>
          <w14:textFill>
            <w14:solidFill>
              <w14:schemeClr w14:val="tx1"/>
            </w14:solidFill>
          </w14:textFill>
        </w:rPr>
        <w:t>中国银行股份有限公司龙岩分行</w:t>
      </w:r>
    </w:p>
    <w:p>
      <w:pPr>
        <w:pageBreakBefore w:val="0"/>
        <w:kinsoku/>
        <w:overflowPunct/>
        <w:bidi w:val="0"/>
        <w:adjustRightInd w:val="0"/>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  </w:t>
      </w:r>
      <w:r>
        <w:rPr>
          <w:rFonts w:hint="eastAsia" w:ascii="宋体" w:hAnsi="宋体" w:eastAsia="宋体" w:cs="宋体"/>
          <w:color w:val="000000" w:themeColor="text1"/>
          <w:szCs w:val="21"/>
          <w:highlight w:val="none"/>
          <w:lang w:eastAsia="zh-CN"/>
          <w14:textFill>
            <w14:solidFill>
              <w14:schemeClr w14:val="tx1"/>
            </w14:solidFill>
          </w14:textFill>
        </w:rPr>
        <w:t xml:space="preserve">  址：龙岩市新罗区龙川北路1号</w:t>
      </w:r>
    </w:p>
    <w:p>
      <w:pPr>
        <w:pageBreakBefore w:val="0"/>
        <w:kinsoku/>
        <w:overflowPunct/>
        <w:bidi w:val="0"/>
        <w:adjustRightInd w:val="0"/>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邮    编：</w:t>
      </w:r>
      <w:r>
        <w:rPr>
          <w:rFonts w:hint="eastAsia" w:ascii="宋体" w:hAnsi="宋体" w:cs="宋体"/>
          <w:color w:val="000000" w:themeColor="text1"/>
          <w:szCs w:val="21"/>
          <w:highlight w:val="none"/>
          <w:lang w:val="en-US" w:eastAsia="zh-CN"/>
          <w14:textFill>
            <w14:solidFill>
              <w14:schemeClr w14:val="tx1"/>
            </w14:solidFill>
          </w14:textFill>
        </w:rPr>
        <w:t>364000</w:t>
      </w:r>
    </w:p>
    <w:p>
      <w:pPr>
        <w:pageBreakBefore w:val="0"/>
        <w:kinsoku/>
        <w:overflowPunct/>
        <w:bidi w:val="0"/>
        <w:adjustRightInd w:val="0"/>
        <w:snapToGrid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联</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系</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lang w:val="en-US" w:eastAsia="zh-CN"/>
          <w14:textFill>
            <w14:solidFill>
              <w14:schemeClr w14:val="tx1"/>
            </w14:solidFill>
          </w14:textFill>
        </w:rPr>
        <w:t>郭经理</w:t>
      </w:r>
      <w:r>
        <w:rPr>
          <w:rFonts w:hint="eastAsia" w:ascii="宋体" w:hAnsi="宋体" w:eastAsia="宋体" w:cs="宋体"/>
          <w:color w:val="000000" w:themeColor="text1"/>
          <w:szCs w:val="21"/>
          <w:highlight w:val="none"/>
          <w:lang w:eastAsia="zh-CN"/>
          <w14:textFill>
            <w14:solidFill>
              <w14:schemeClr w14:val="tx1"/>
            </w14:solidFill>
          </w14:textFill>
        </w:rPr>
        <w:t>】</w:t>
      </w:r>
    </w:p>
    <w:p>
      <w:pPr>
        <w:keepNext w:val="0"/>
        <w:keepLines w:val="0"/>
        <w:widowControl/>
        <w:suppressLineNumbers w:val="0"/>
        <w:jc w:val="left"/>
        <w:rPr>
          <w:rFonts w:hint="eastAsia" w:ascii="宋体" w:hAnsi="宋体" w:cs="宋体"/>
          <w:szCs w:val="21"/>
        </w:rPr>
      </w:pPr>
      <w:r>
        <w:rPr>
          <w:rFonts w:hint="eastAsia" w:ascii="宋体" w:hAnsi="宋体" w:eastAsia="宋体" w:cs="宋体"/>
          <w:color w:val="000000" w:themeColor="text1"/>
          <w:szCs w:val="21"/>
          <w:highlight w:val="none"/>
          <w:lang w:eastAsia="zh-CN"/>
          <w14:textFill>
            <w14:solidFill>
              <w14:schemeClr w14:val="tx1"/>
            </w14:solidFill>
          </w14:textFill>
        </w:rPr>
        <w:t>电</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话：【0597-2020155】</w:t>
      </w:r>
    </w:p>
    <w:p>
      <w:pPr>
        <w:pageBreakBefore w:val="0"/>
        <w:kinsoku/>
        <w:overflowPunct/>
        <w:bidi w:val="0"/>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pPr>
        <w:pageBreakBefore w:val="0"/>
        <w:kinsoku/>
        <w:overflowPunct/>
        <w:bidi w:val="0"/>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代理机构名称：福建省中通通信物流有限公司</w:t>
      </w:r>
    </w:p>
    <w:p>
      <w:pPr>
        <w:pageBreakBefore w:val="0"/>
        <w:kinsoku/>
        <w:overflowPunct/>
        <w:bidi w:val="0"/>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代理机构地址：福州市仓山区信平路10号</w:t>
      </w:r>
    </w:p>
    <w:p>
      <w:pPr>
        <w:pageBreakBefore w:val="0"/>
        <w:kinsoku/>
        <w:overflowPunct/>
        <w:bidi w:val="0"/>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邮编：350007</w:t>
      </w:r>
    </w:p>
    <w:p>
      <w:pPr>
        <w:pageBreakBefore w:val="0"/>
        <w:kinsoku/>
        <w:overflowPunct/>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应答</w:t>
      </w:r>
      <w:r>
        <w:rPr>
          <w:rFonts w:hint="eastAsia" w:ascii="宋体" w:hAnsi="宋体" w:eastAsia="宋体" w:cs="宋体"/>
          <w:color w:val="000000" w:themeColor="text1"/>
          <w:highlight w:val="none"/>
          <w14:textFill>
            <w14:solidFill>
              <w14:schemeClr w14:val="tx1"/>
            </w14:solidFill>
          </w14:textFill>
        </w:rPr>
        <w:t>文件或电子档（U盘）</w:t>
      </w:r>
      <w:r>
        <w:rPr>
          <w:rFonts w:hint="eastAsia" w:ascii="宋体" w:hAnsi="宋体" w:eastAsia="宋体" w:cs="宋体"/>
          <w:b/>
          <w:bCs/>
          <w:color w:val="000000" w:themeColor="text1"/>
          <w:highlight w:val="none"/>
          <w14:textFill>
            <w14:solidFill>
              <w14:schemeClr w14:val="tx1"/>
            </w14:solidFill>
          </w14:textFill>
        </w:rPr>
        <w:t>采取邮寄方式</w:t>
      </w:r>
      <w:r>
        <w:rPr>
          <w:rFonts w:hint="eastAsia" w:ascii="宋体" w:hAnsi="宋体" w:eastAsia="宋体" w:cs="宋体"/>
          <w:color w:val="000000" w:themeColor="text1"/>
          <w:highlight w:val="none"/>
          <w14:textFill>
            <w14:solidFill>
              <w14:schemeClr w14:val="tx1"/>
            </w14:solidFill>
          </w14:textFill>
        </w:rPr>
        <w:t>递交的，邮寄地址</w:t>
      </w:r>
      <w:r>
        <w:rPr>
          <w:rFonts w:hint="eastAsia" w:ascii="宋体" w:hAnsi="宋体" w:eastAsia="宋体" w:cs="宋体"/>
          <w:color w:val="000000" w:themeColor="text1"/>
          <w:highlight w:val="none"/>
          <w:lang w:val="en-US" w:eastAsia="zh-CN"/>
          <w14:textFill>
            <w14:solidFill>
              <w14:schemeClr w14:val="tx1"/>
            </w14:solidFill>
          </w14:textFill>
        </w:rPr>
        <w:t>为</w:t>
      </w:r>
      <w:r>
        <w:rPr>
          <w:rFonts w:hint="eastAsia" w:ascii="宋体" w:hAnsi="宋体" w:eastAsia="宋体" w:cs="宋体"/>
          <w:color w:val="000000" w:themeColor="text1"/>
          <w:highlight w:val="none"/>
          <w14:textFill>
            <w14:solidFill>
              <w14:schemeClr w14:val="tx1"/>
            </w14:solidFill>
          </w14:textFill>
        </w:rPr>
        <w:t>【见</w:t>
      </w:r>
      <w:r>
        <w:rPr>
          <w:rFonts w:hint="eastAsia" w:ascii="宋体" w:hAnsi="宋体" w:eastAsia="宋体" w:cs="宋体"/>
          <w:color w:val="000000" w:themeColor="text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文件递交截止地点</w:t>
      </w:r>
      <w:r>
        <w:rPr>
          <w:rFonts w:hint="eastAsia" w:ascii="宋体" w:hAnsi="宋体" w:eastAsia="宋体" w:cs="宋体"/>
          <w:color w:val="000000" w:themeColor="text1"/>
          <w:highlight w:val="none"/>
          <w14:textFill>
            <w14:solidFill>
              <w14:schemeClr w14:val="tx1"/>
            </w14:solidFill>
          </w14:textFill>
        </w:rPr>
        <w:t>】</w:t>
      </w:r>
    </w:p>
    <w:p>
      <w:pPr>
        <w:pageBreakBefore w:val="0"/>
        <w:kinsoku/>
        <w:overflowPunct/>
        <w:bidi w:val="0"/>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pPr>
        <w:pageBreakBefore w:val="0"/>
        <w:kinsoku/>
        <w:overflowPunct/>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李倩</w:t>
      </w:r>
      <w:r>
        <w:rPr>
          <w:rFonts w:hint="eastAsia" w:ascii="宋体" w:hAnsi="宋体" w:eastAsia="宋体" w:cs="宋体"/>
          <w:color w:val="000000" w:themeColor="text1"/>
          <w:highlight w:val="none"/>
          <w14:textFill>
            <w14:solidFill>
              <w14:schemeClr w14:val="tx1"/>
            </w14:solidFill>
          </w14:textFill>
        </w:rPr>
        <w:t>】       电话：【1</w:t>
      </w:r>
      <w:r>
        <w:rPr>
          <w:rFonts w:hint="eastAsia" w:ascii="宋体" w:hAnsi="宋体" w:eastAsia="宋体" w:cs="宋体"/>
          <w:color w:val="000000" w:themeColor="text1"/>
          <w:highlight w:val="none"/>
          <w:lang w:val="en-US" w:eastAsia="zh-CN"/>
          <w14:textFill>
            <w14:solidFill>
              <w14:schemeClr w14:val="tx1"/>
            </w14:solidFill>
          </w14:textFill>
        </w:rPr>
        <w:t>9906979952</w:t>
      </w:r>
      <w:r>
        <w:rPr>
          <w:rFonts w:hint="eastAsia" w:ascii="宋体" w:hAnsi="宋体" w:eastAsia="宋体" w:cs="宋体"/>
          <w:color w:val="000000" w:themeColor="text1"/>
          <w:highlight w:val="none"/>
          <w14:textFill>
            <w14:solidFill>
              <w14:schemeClr w14:val="tx1"/>
            </w14:solidFill>
          </w14:textFill>
        </w:rPr>
        <w:t>】</w:t>
      </w:r>
    </w:p>
    <w:p>
      <w:pPr>
        <w:pageBreakBefore w:val="0"/>
        <w:kinsoku/>
        <w:overflowPunct/>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项目负责人2：</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江济宇</w:t>
      </w:r>
      <w:r>
        <w:rPr>
          <w:rFonts w:hint="eastAsia" w:ascii="宋体" w:hAnsi="宋体" w:eastAsia="宋体" w:cs="宋体"/>
          <w:color w:val="000000" w:themeColor="text1"/>
          <w:highlight w:val="none"/>
          <w14:textFill>
            <w14:solidFill>
              <w14:schemeClr w14:val="tx1"/>
            </w14:solidFill>
          </w14:textFill>
        </w:rPr>
        <w:t>】       电话：【13305007799】</w:t>
      </w:r>
    </w:p>
    <w:p>
      <w:pPr>
        <w:pageBreakBefore w:val="0"/>
        <w:kinsoku/>
        <w:overflowPunct/>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魏文杰</w:t>
      </w:r>
      <w:r>
        <w:rPr>
          <w:rFonts w:hint="eastAsia" w:ascii="宋体" w:hAnsi="宋体" w:eastAsia="宋体" w:cs="宋体"/>
          <w:color w:val="000000" w:themeColor="text1"/>
          <w:highlight w:val="none"/>
          <w14:textFill>
            <w14:solidFill>
              <w14:schemeClr w14:val="tx1"/>
            </w14:solidFill>
          </w14:textFill>
        </w:rPr>
        <w:t>】       电话：【</w:t>
      </w:r>
      <w:r>
        <w:rPr>
          <w:rFonts w:hint="eastAsia" w:ascii="宋体" w:hAnsi="宋体" w:cs="宋体"/>
          <w:color w:val="000000" w:themeColor="text1"/>
          <w:highlight w:val="none"/>
          <w:lang w:val="en-US" w:eastAsia="zh-CN"/>
          <w14:textFill>
            <w14:solidFill>
              <w14:schemeClr w14:val="tx1"/>
            </w14:solidFill>
          </w14:textFill>
        </w:rPr>
        <w:t>18906911126</w:t>
      </w:r>
      <w:r>
        <w:rPr>
          <w:rFonts w:hint="eastAsia" w:ascii="宋体" w:hAnsi="宋体" w:eastAsia="宋体" w:cs="宋体"/>
          <w:color w:val="000000" w:themeColor="text1"/>
          <w:highlight w:val="none"/>
          <w14:textFill>
            <w14:solidFill>
              <w14:schemeClr w14:val="tx1"/>
            </w14:solidFill>
          </w14:textFill>
        </w:rPr>
        <w:t>】</w:t>
      </w:r>
    </w:p>
    <w:p>
      <w:pPr>
        <w:pageBreakBefore w:val="0"/>
        <w:kinsoku/>
        <w:overflowPunct/>
        <w:bidi w:val="0"/>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电子邮箱（异议接收邮箱）：【</w:t>
      </w:r>
      <w:r>
        <w:rPr>
          <w:rFonts w:hint="eastAsia" w:ascii="宋体" w:hAnsi="宋体" w:cs="宋体"/>
          <w:color w:val="000000" w:themeColor="text1"/>
          <w:highlight w:val="none"/>
          <w:lang w:val="en-US" w:eastAsia="zh-CN"/>
          <w14:textFill>
            <w14:solidFill>
              <w14:schemeClr w14:val="tx1"/>
            </w14:solidFill>
          </w14:textFill>
        </w:rPr>
        <w:t>liqian</w:t>
      </w:r>
      <w:r>
        <w:rPr>
          <w:rFonts w:hint="eastAsia" w:ascii="宋体" w:hAnsi="宋体" w:eastAsia="宋体" w:cs="宋体"/>
          <w:color w:val="000000" w:themeColor="text1"/>
          <w:highlight w:val="none"/>
          <w14:textFill>
            <w14:solidFill>
              <w14:schemeClr w14:val="tx1"/>
            </w14:solidFill>
          </w14:textFill>
        </w:rPr>
        <w:t>@chinaccs.cn】</w:t>
      </w:r>
    </w:p>
    <w:p>
      <w:pPr>
        <w:pageBreakBefore w:val="0"/>
        <w:kinsoku/>
        <w:overflowPunct/>
        <w:bidi w:val="0"/>
        <w:spacing w:line="360" w:lineRule="auto"/>
        <w:ind w:right="489"/>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代理机构：</w:t>
      </w:r>
      <w:r>
        <w:rPr>
          <w:rFonts w:hint="eastAsia" w:ascii="宋体" w:hAnsi="宋体" w:eastAsia="宋体" w:cs="宋体"/>
          <w:color w:val="000000" w:themeColor="text1"/>
          <w:szCs w:val="21"/>
          <w:highlight w:val="none"/>
          <w:u w:val="single"/>
          <w14:textFill>
            <w14:solidFill>
              <w14:schemeClr w14:val="tx1"/>
            </w14:solidFill>
          </w14:textFill>
        </w:rPr>
        <w:t>【福建省中通通信物流有限公司】</w:t>
      </w:r>
    </w:p>
    <w:p>
      <w:pPr>
        <w:pStyle w:val="11"/>
        <w:pageBreakBefore w:val="0"/>
        <w:kinsoku/>
        <w:overflowPunct/>
        <w:bidi w:val="0"/>
        <w:spacing w:line="360" w:lineRule="auto"/>
        <w:ind w:left="0" w:leftChars="0" w:firstLine="0"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08</w:t>
      </w:r>
      <w:r>
        <w:rPr>
          <w:rFonts w:hint="eastAsia" w:ascii="宋体" w:hAnsi="宋体" w:eastAsia="宋体" w:cs="宋体"/>
          <w:color w:val="000000" w:themeColor="text1"/>
          <w:szCs w:val="21"/>
          <w:highlight w:val="none"/>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pStyle w:val="12"/>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jhkYjExMWZlZmZhNzhkNTUwMGUzZGJiZTliNzYifQ=="/>
  </w:docVars>
  <w:rsids>
    <w:rsidRoot w:val="567E51AF"/>
    <w:rsid w:val="567E51AF"/>
    <w:rsid w:val="76E6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customStyle="1" w:styleId="9">
    <w:name w:val="样式1标题2 字符"/>
    <w:basedOn w:val="10"/>
    <w:link w:val="12"/>
    <w:qFormat/>
    <w:uiPriority w:val="0"/>
    <w:rPr>
      <w:rFonts w:asciiTheme="minorEastAsia" w:hAnsiTheme="minorEastAsia" w:eastAsiaTheme="minorEastAsia"/>
      <w:b/>
      <w:szCs w:val="21"/>
    </w:rPr>
  </w:style>
  <w:style w:type="character" w:customStyle="1" w:styleId="10">
    <w:name w:val="列出段落 Char"/>
    <w:basedOn w:val="7"/>
    <w:link w:val="11"/>
    <w:qFormat/>
    <w:uiPriority w:val="34"/>
  </w:style>
  <w:style w:type="paragraph" w:styleId="11">
    <w:name w:val="List Paragraph"/>
    <w:basedOn w:val="1"/>
    <w:link w:val="10"/>
    <w:unhideWhenUsed/>
    <w:qFormat/>
    <w:uiPriority w:val="34"/>
    <w:pPr>
      <w:ind w:firstLine="420" w:firstLineChars="200"/>
    </w:pPr>
  </w:style>
  <w:style w:type="paragraph" w:customStyle="1" w:styleId="12">
    <w:name w:val="样式1标题2"/>
    <w:basedOn w:val="11"/>
    <w:link w:val="9"/>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2023-09-08T08:27:00Z</dcterms:created>
  <dc:creator>Liqq</dc:creator>
  <cp:lastModifiedBy>Liqq</cp:lastModifiedBy>
  <dcterms:modified xsi:type="dcterms:W3CDTF">2023-09-08T08:31:36Z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E5116562CEC241DABAA7BBF5C90CC13A_11</vt:lpwstr>
  </property>
</Properties>
</file>