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pacing w:before="240" w:after="120"/>
        <w:rPr>
          <w:rFonts w:ascii="宋体" w:hAnsi="宋体" w:eastAsia="宋体" w:cs="宋体"/>
          <w:b/>
          <w:bCs w:val="0"/>
          <w:color w:val="auto"/>
          <w:kern w:val="0"/>
          <w:sz w:val="28"/>
          <w:szCs w:val="28"/>
          <w:highlight w:val="none"/>
        </w:rPr>
      </w:pPr>
      <w:r>
        <w:rPr>
          <w:rFonts w:hint="eastAsia" w:ascii="宋体" w:hAnsi="宋体" w:eastAsia="宋体" w:cs="宋体"/>
          <w:b/>
          <w:bCs w:val="0"/>
          <w:color w:val="auto"/>
          <w:kern w:val="0"/>
          <w:sz w:val="28"/>
          <w:szCs w:val="28"/>
          <w:highlight w:val="none"/>
        </w:rPr>
        <w:t>2023年中国电信宁德分公司后岗附属八楼网络监控大屏新建项目</w:t>
      </w:r>
      <w:bookmarkStart w:id="7" w:name="_GoBack"/>
      <w:bookmarkEnd w:id="7"/>
      <w:r>
        <w:rPr>
          <w:rFonts w:hint="eastAsia" w:ascii="宋体" w:hAnsi="宋体" w:eastAsia="宋体" w:cs="宋体"/>
          <w:b/>
          <w:bCs w:val="0"/>
          <w:color w:val="auto"/>
          <w:kern w:val="0"/>
          <w:sz w:val="28"/>
          <w:szCs w:val="28"/>
          <w:highlight w:val="none"/>
        </w:rPr>
        <w:t>比选公告</w:t>
      </w:r>
    </w:p>
    <w:p>
      <w:pPr>
        <w:pageBreakBefore w:val="0"/>
        <w:kinsoku/>
        <w:overflowPunct/>
        <w:bidi w:val="0"/>
        <w:adjustRightInd w:val="0"/>
        <w:snapToGrid w:val="0"/>
        <w:spacing w:line="360" w:lineRule="auto"/>
        <w:ind w:firstLine="420" w:firstLineChars="200"/>
        <w:rPr>
          <w:rFonts w:ascii="宋体" w:hAnsi="宋体"/>
          <w:color w:val="auto"/>
          <w:szCs w:val="21"/>
          <w:highlight w:val="none"/>
        </w:rPr>
      </w:pPr>
      <w:r>
        <w:rPr>
          <w:rFonts w:hint="eastAsia" w:ascii="宋体" w:hAnsi="宋体" w:eastAsia="宋体" w:cs="宋体"/>
          <w:color w:val="auto"/>
          <w:szCs w:val="21"/>
          <w:highlight w:val="none"/>
        </w:rPr>
        <w:t>本比选项目为</w:t>
      </w:r>
      <w:r>
        <w:rPr>
          <w:rFonts w:hint="eastAsia" w:ascii="宋体" w:hAnsi="宋体" w:cs="宋体"/>
          <w:color w:val="auto"/>
          <w:szCs w:val="21"/>
          <w:highlight w:val="none"/>
          <w:lang w:eastAsia="zh-CN"/>
        </w:rPr>
        <w:t>2023年中国电信宁德分公司后岗附属八楼网络监控大屏新建项目</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比选编号</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FJZT-2023-10486</w:t>
      </w:r>
      <w:r>
        <w:rPr>
          <w:rFonts w:hint="eastAsia" w:ascii="宋体" w:hAnsi="宋体" w:eastAsia="宋体" w:cs="宋体"/>
          <w:color w:val="auto"/>
          <w:szCs w:val="21"/>
          <w:highlight w:val="none"/>
        </w:rPr>
        <w:t>），比选人为</w:t>
      </w:r>
      <w:r>
        <w:rPr>
          <w:rFonts w:hint="eastAsia" w:ascii="宋体" w:hAnsi="宋体" w:cs="宋体"/>
          <w:color w:val="auto"/>
          <w:szCs w:val="21"/>
          <w:highlight w:val="none"/>
          <w:lang w:eastAsia="zh-CN"/>
        </w:rPr>
        <w:t>中国电信股份有限公司宁德分公司</w:t>
      </w:r>
      <w:r>
        <w:rPr>
          <w:rFonts w:hint="eastAsia" w:ascii="宋体" w:hAnsi="宋体" w:eastAsia="宋体" w:cs="宋体"/>
          <w:color w:val="auto"/>
          <w:szCs w:val="21"/>
          <w:highlight w:val="none"/>
        </w:rPr>
        <w:t>，比选代理机构为福建省中通通信物流有限公司。项目资金已落实，具备比选条件，现进行公开比选，特邀请有意向的且具有提供标的物能力的潜在参选人（以下简称参选人）参选。</w:t>
      </w:r>
    </w:p>
    <w:p>
      <w:pPr>
        <w:pStyle w:val="9"/>
        <w:numPr>
          <w:ilvl w:val="0"/>
          <w:numId w:val="0"/>
        </w:numPr>
        <w:adjustRightInd w:val="0"/>
        <w:snapToGrid w:val="0"/>
        <w:spacing w:line="440" w:lineRule="exact"/>
        <w:ind w:leftChars="0"/>
        <w:rPr>
          <w:rFonts w:ascii="宋体" w:hAnsi="宋体"/>
          <w:b/>
          <w:color w:val="auto"/>
          <w:szCs w:val="21"/>
          <w:highlight w:val="none"/>
        </w:rPr>
      </w:pPr>
      <w:r>
        <w:rPr>
          <w:rFonts w:hint="eastAsia" w:ascii="宋体" w:hAnsi="宋体"/>
          <w:b/>
          <w:color w:val="auto"/>
          <w:szCs w:val="21"/>
          <w:highlight w:val="none"/>
          <w:lang w:val="en-US" w:eastAsia="zh-CN"/>
        </w:rPr>
        <w:t>1.</w:t>
      </w:r>
      <w:r>
        <w:rPr>
          <w:rFonts w:hint="eastAsia" w:ascii="宋体" w:hAnsi="宋体"/>
          <w:b/>
          <w:color w:val="auto"/>
          <w:szCs w:val="21"/>
          <w:highlight w:val="none"/>
        </w:rPr>
        <w:t>项目概况与采购内容</w:t>
      </w:r>
    </w:p>
    <w:p>
      <w:pPr>
        <w:pStyle w:val="9"/>
        <w:numPr>
          <w:ilvl w:val="0"/>
          <w:numId w:val="0"/>
        </w:numPr>
        <w:adjustRightInd w:val="0"/>
        <w:snapToGrid w:val="0"/>
        <w:spacing w:line="440" w:lineRule="exact"/>
        <w:ind w:left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rPr>
        <w:t>项目概况</w:t>
      </w:r>
    </w:p>
    <w:p>
      <w:pPr>
        <w:pStyle w:val="9"/>
        <w:numPr>
          <w:ilvl w:val="0"/>
          <w:numId w:val="0"/>
        </w:numPr>
        <w:adjustRightInd w:val="0"/>
        <w:snapToGrid w:val="0"/>
        <w:spacing w:line="440" w:lineRule="exact"/>
        <w:ind w:firstLine="420" w:firstLineChars="200"/>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eastAsia="zh-CN"/>
        </w:rPr>
        <w:t>2023年中国电信宁德分公司后岗附属八楼网络监控大屏新建项目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预算金额为</w:t>
      </w:r>
      <w:bookmarkStart w:id="0" w:name="_Hlk102748068"/>
      <w:r>
        <w:rPr>
          <w:rFonts w:hint="eastAsia" w:ascii="宋体" w:hAnsi="宋体" w:cs="宋体"/>
          <w:color w:val="auto"/>
          <w:sz w:val="21"/>
          <w:szCs w:val="21"/>
          <w:highlight w:val="none"/>
          <w:lang w:val="en-US" w:eastAsia="zh-CN"/>
        </w:rPr>
        <w:t>27</w:t>
      </w:r>
      <w:r>
        <w:rPr>
          <w:rFonts w:hint="eastAsia" w:ascii="宋体" w:hAnsi="宋体" w:eastAsia="宋体" w:cs="宋体"/>
          <w:color w:val="000000" w:themeColor="text1"/>
          <w:sz w:val="21"/>
          <w:szCs w:val="21"/>
          <w14:textFill>
            <w14:solidFill>
              <w14:schemeClr w14:val="tx1"/>
            </w14:solidFill>
          </w14:textFill>
        </w:rPr>
        <w:t>万</w:t>
      </w:r>
      <w:r>
        <w:rPr>
          <w:rFonts w:hint="eastAsia" w:ascii="宋体" w:hAnsi="宋体" w:eastAsia="宋体" w:cs="宋体"/>
          <w:color w:val="000000" w:themeColor="text1"/>
          <w:sz w:val="21"/>
          <w:szCs w:val="21"/>
          <w:lang w:val="en-US" w:eastAsia="zh-CN"/>
          <w14:textFill>
            <w14:solidFill>
              <w14:schemeClr w14:val="tx1"/>
            </w14:solidFill>
          </w14:textFill>
        </w:rPr>
        <w:t>元</w:t>
      </w:r>
      <w:r>
        <w:rPr>
          <w:rFonts w:hint="eastAsia" w:ascii="宋体" w:hAnsi="宋体" w:eastAsia="宋体" w:cs="宋体"/>
          <w:sz w:val="21"/>
          <w:szCs w:val="21"/>
        </w:rPr>
        <w:t>人民币（不含税）</w:t>
      </w:r>
      <w:bookmarkEnd w:id="0"/>
      <w:r>
        <w:rPr>
          <w:rFonts w:hint="eastAsia" w:ascii="宋体" w:hAnsi="宋体" w:eastAsia="宋体" w:cs="宋体"/>
          <w:color w:val="auto"/>
          <w:sz w:val="21"/>
          <w:szCs w:val="21"/>
          <w:highlight w:val="none"/>
        </w:rPr>
        <w:t>。</w:t>
      </w:r>
    </w:p>
    <w:p>
      <w:pPr>
        <w:pStyle w:val="9"/>
        <w:numPr>
          <w:ilvl w:val="0"/>
          <w:numId w:val="0"/>
        </w:numPr>
        <w:adjustRightInd w:val="0"/>
        <w:snapToGrid w:val="0"/>
        <w:spacing w:line="440" w:lineRule="exact"/>
        <w:ind w:left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采购内容</w:t>
      </w:r>
    </w:p>
    <w:p>
      <w:pPr>
        <w:pStyle w:val="9"/>
        <w:adjustRightInd w:val="0"/>
        <w:snapToGrid w:val="0"/>
        <w:spacing w:line="360" w:lineRule="exact"/>
        <w:ind w:firstLine="424" w:firstLineChars="202"/>
        <w:rPr>
          <w:rFonts w:hint="eastAsia" w:cs="宋体" w:asciiTheme="minorEastAsia" w:hAnsiTheme="minorEastAsia"/>
          <w:color w:val="000000"/>
          <w:kern w:val="0"/>
          <w:sz w:val="21"/>
          <w:szCs w:val="21"/>
          <w:lang w:val="en-US" w:eastAsia="zh-CN"/>
        </w:rPr>
      </w:pPr>
      <w:bookmarkStart w:id="1" w:name="_Toc319769473"/>
      <w:bookmarkStart w:id="2" w:name="_Toc319394714"/>
      <w:bookmarkStart w:id="3" w:name="_Toc184704555"/>
      <w:r>
        <w:rPr>
          <w:rFonts w:hint="eastAsia" w:ascii="宋体" w:hAnsi="宋体" w:eastAsia="宋体" w:cs="宋体"/>
          <w:b w:val="0"/>
          <w:bCs/>
          <w:sz w:val="21"/>
          <w:szCs w:val="21"/>
        </w:rPr>
        <w:t>本项目主要</w:t>
      </w:r>
      <w:r>
        <w:rPr>
          <w:rFonts w:hint="eastAsia" w:ascii="宋体" w:hAnsi="宋体" w:cs="宋体"/>
          <w:b w:val="0"/>
          <w:bCs/>
          <w:sz w:val="21"/>
          <w:szCs w:val="21"/>
          <w:lang w:val="en-US" w:eastAsia="zh-CN"/>
        </w:rPr>
        <w:t>为</w:t>
      </w:r>
      <w:r>
        <w:rPr>
          <w:rFonts w:cs="宋体" w:asciiTheme="minorEastAsia" w:hAnsiTheme="minorEastAsia"/>
          <w:color w:val="000000"/>
          <w:kern w:val="0"/>
          <w:sz w:val="21"/>
          <w:szCs w:val="21"/>
        </w:rPr>
        <w:t>宁德后岗附属八楼网络监控大屏新建</w:t>
      </w:r>
      <w:r>
        <w:rPr>
          <w:rFonts w:hint="eastAsia" w:cs="宋体" w:asciiTheme="minorEastAsia" w:hAnsiTheme="minorEastAsia"/>
          <w:color w:val="000000"/>
          <w:kern w:val="0"/>
          <w:sz w:val="21"/>
          <w:szCs w:val="21"/>
          <w:lang w:eastAsia="zh-CN"/>
        </w:rPr>
        <w:t>，</w:t>
      </w:r>
      <w:r>
        <w:rPr>
          <w:rFonts w:hint="eastAsia" w:cs="宋体" w:asciiTheme="minorEastAsia" w:hAnsiTheme="minorEastAsia"/>
          <w:color w:val="000000"/>
          <w:kern w:val="0"/>
          <w:sz w:val="21"/>
          <w:szCs w:val="21"/>
          <w:lang w:val="en-US" w:eastAsia="zh-CN"/>
        </w:rPr>
        <w:t>包含</w:t>
      </w:r>
      <w:r>
        <w:rPr>
          <w:rFonts w:hint="eastAsia" w:ascii="宋体" w:hAnsi="宋体" w:cs="宋体"/>
          <w:color w:val="000000" w:themeColor="text1"/>
          <w:sz w:val="21"/>
          <w:szCs w:val="21"/>
          <w14:textFill>
            <w14:solidFill>
              <w14:schemeClr w14:val="tx1"/>
            </w14:solidFill>
          </w14:textFill>
        </w:rPr>
        <w:t>室内高清LED显示屏</w:t>
      </w:r>
      <w:r>
        <w:rPr>
          <w:rFonts w:hint="eastAsia" w:ascii="宋体" w:hAnsi="宋体" w:cs="宋体"/>
          <w:sz w:val="21"/>
          <w:szCs w:val="21"/>
        </w:rPr>
        <w:t>1套及配套的软硬件</w:t>
      </w:r>
      <w:r>
        <w:rPr>
          <w:rFonts w:hint="eastAsia" w:ascii="宋体" w:hAnsi="宋体" w:cs="宋体"/>
          <w:sz w:val="21"/>
          <w:szCs w:val="21"/>
          <w:lang w:val="en-US" w:eastAsia="zh-CN"/>
        </w:rPr>
        <w:t>设备安装</w:t>
      </w:r>
      <w:r>
        <w:rPr>
          <w:rFonts w:hint="eastAsia" w:ascii="宋体" w:hAnsi="宋体" w:cs="宋体"/>
          <w:sz w:val="21"/>
          <w:szCs w:val="21"/>
        </w:rPr>
        <w:t>和3年的设备售后质保</w:t>
      </w:r>
      <w:r>
        <w:rPr>
          <w:rFonts w:hint="eastAsia" w:ascii="宋体" w:hAnsi="宋体" w:cs="宋体"/>
          <w:sz w:val="21"/>
          <w:szCs w:val="21"/>
          <w:lang w:eastAsia="zh-CN"/>
        </w:rPr>
        <w:t>，</w:t>
      </w:r>
      <w:r>
        <w:rPr>
          <w:rFonts w:hint="eastAsia" w:cs="宋体" w:asciiTheme="minorEastAsia" w:hAnsiTheme="minorEastAsia"/>
          <w:color w:val="000000"/>
          <w:kern w:val="0"/>
          <w:sz w:val="21"/>
          <w:szCs w:val="21"/>
          <w:lang w:val="en-US" w:eastAsia="zh-CN"/>
        </w:rPr>
        <w:t>具体采购内容如下：</w:t>
      </w:r>
    </w:p>
    <w:tbl>
      <w:tblPr>
        <w:tblStyle w:val="4"/>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2126"/>
        <w:gridCol w:w="4111"/>
        <w:gridCol w:w="709"/>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04" w:type="dxa"/>
            <w:shd w:val="clear" w:color="auto" w:fill="auto"/>
            <w:noWrap/>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序号</w:t>
            </w:r>
          </w:p>
        </w:tc>
        <w:tc>
          <w:tcPr>
            <w:tcW w:w="2126" w:type="dxa"/>
            <w:shd w:val="clear" w:color="auto" w:fill="auto"/>
            <w:noWrap/>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名称</w:t>
            </w:r>
          </w:p>
        </w:tc>
        <w:tc>
          <w:tcPr>
            <w:tcW w:w="4111" w:type="dxa"/>
            <w:shd w:val="clear" w:color="auto"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描述</w:t>
            </w:r>
          </w:p>
        </w:tc>
        <w:tc>
          <w:tcPr>
            <w:tcW w:w="709" w:type="dxa"/>
            <w:shd w:val="clear" w:color="auto" w:fill="auto"/>
            <w:noWrap/>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数量</w:t>
            </w:r>
          </w:p>
        </w:tc>
        <w:tc>
          <w:tcPr>
            <w:tcW w:w="709" w:type="dxa"/>
            <w:shd w:val="clear" w:color="auto" w:fill="auto"/>
            <w:noWrap/>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04" w:type="dxa"/>
            <w:shd w:val="clear" w:color="auto" w:fill="auto"/>
            <w:noWrap/>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1</w:t>
            </w:r>
          </w:p>
        </w:tc>
        <w:tc>
          <w:tcPr>
            <w:tcW w:w="2126" w:type="dxa"/>
            <w:shd w:val="clear" w:color="auto" w:fill="auto"/>
            <w:vAlign w:val="center"/>
          </w:tcPr>
          <w:p>
            <w:pPr>
              <w:widowControl/>
              <w:jc w:val="center"/>
              <w:rPr>
                <w:rFonts w:cs="宋体" w:asciiTheme="minorEastAsia" w:hAnsiTheme="minorEastAsia"/>
                <w:kern w:val="0"/>
                <w:szCs w:val="21"/>
              </w:rPr>
            </w:pPr>
            <w:r>
              <w:rPr>
                <w:rFonts w:hint="eastAsia" w:ascii="宋体" w:hAnsi="宋体" w:cs="宋体"/>
                <w:color w:val="000000" w:themeColor="text1"/>
                <w:szCs w:val="21"/>
                <w14:textFill>
                  <w14:solidFill>
                    <w14:schemeClr w14:val="tx1"/>
                  </w14:solidFill>
                </w14:textFill>
              </w:rPr>
              <w:t>室内高清LED显示屏</w:t>
            </w:r>
          </w:p>
        </w:tc>
        <w:tc>
          <w:tcPr>
            <w:tcW w:w="4111" w:type="dxa"/>
            <w:shd w:val="clear" w:color="auto" w:fill="auto"/>
            <w:vAlign w:val="center"/>
          </w:tcPr>
          <w:p>
            <w:pPr>
              <w:widowControl/>
              <w:jc w:val="left"/>
              <w:rPr>
                <w:rFonts w:cs="宋体" w:asciiTheme="minorEastAsia" w:hAnsiTheme="minorEastAsia"/>
                <w:kern w:val="0"/>
                <w:szCs w:val="21"/>
              </w:rPr>
            </w:pPr>
            <w:r>
              <w:rPr>
                <w:rFonts w:hint="eastAsia" w:ascii="宋体" w:hAnsi="宋体" w:cs="宋体"/>
                <w:color w:val="000000" w:themeColor="text1"/>
                <w:szCs w:val="21"/>
                <w14:textFill>
                  <w14:solidFill>
                    <w14:schemeClr w14:val="tx1"/>
                  </w14:solidFill>
                </w14:textFill>
              </w:rPr>
              <w:t>包括室内小间距高清LED显示屏6.4m*3.2m、接收卡、发送盒、视频综合平台（HDMI输出*4、HDMI输入*4和VGA输入*4）、大屏控制软件、配电箱、钢结构、安装辅材、总线路敷设（电源线5*6平方*50m、网线100m）、设备安装施工、维保3年。</w:t>
            </w:r>
          </w:p>
        </w:tc>
        <w:tc>
          <w:tcPr>
            <w:tcW w:w="709" w:type="dxa"/>
            <w:shd w:val="clear" w:color="auto" w:fill="auto"/>
            <w:noWrap/>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1</w:t>
            </w:r>
          </w:p>
        </w:tc>
        <w:tc>
          <w:tcPr>
            <w:tcW w:w="709" w:type="dxa"/>
            <w:shd w:val="clear" w:color="auto" w:fill="auto"/>
            <w:noWrap/>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批</w:t>
            </w:r>
          </w:p>
        </w:tc>
      </w:tr>
    </w:tbl>
    <w:p>
      <w:pPr>
        <w:pStyle w:val="9"/>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本项目将按照不定期更新的《中国电信供应商不良行为管理规则》应用供应商不良行为处理结果，供应商不良行为处理结果的应用依据“涉及的主要评估产品品类”及相关规则确定。</w:t>
      </w:r>
      <w:r>
        <w:rPr>
          <w:rFonts w:hint="eastAsia" w:ascii="宋体" w:hAnsi="宋体" w:eastAsia="宋体" w:cs="宋体"/>
          <w:color w:val="auto"/>
          <w:kern w:val="0"/>
          <w:sz w:val="21"/>
          <w:szCs w:val="21"/>
          <w:highlight w:val="none"/>
        </w:rPr>
        <w:t>无涉及的评估产品品类的，针对具体产品品类的处理结果均不适用，仅适用针对供应商的处理结果</w:t>
      </w:r>
      <w:r>
        <w:rPr>
          <w:rFonts w:hint="eastAsia" w:ascii="宋体" w:hAnsi="宋体" w:eastAsia="宋体" w:cs="宋体"/>
          <w:color w:val="auto"/>
          <w:sz w:val="21"/>
          <w:szCs w:val="21"/>
          <w:highlight w:val="none"/>
        </w:rPr>
        <w:t>。请务必登录中国电信供应链系统（CTSC）</w:t>
      </w:r>
    </w:p>
    <w:p>
      <w:pPr>
        <w:tabs>
          <w:tab w:val="left" w:pos="0"/>
        </w:tabs>
        <w:adjustRightInd w:val="0"/>
        <w:snapToGrid w:val="0"/>
        <w:spacing w:line="420" w:lineRule="atLeast"/>
        <w:rPr>
          <w:rFonts w:ascii="宋体" w:hAnsi="宋体"/>
          <w:color w:val="auto"/>
          <w:sz w:val="21"/>
          <w:szCs w:val="21"/>
          <w:highlight w:val="none"/>
        </w:rPr>
      </w:pPr>
      <w:r>
        <w:rPr>
          <w:rFonts w:hint="eastAsia" w:ascii="宋体" w:hAnsi="宋体" w:eastAsia="宋体" w:cs="宋体"/>
          <w:color w:val="auto"/>
          <w:sz w:val="21"/>
          <w:szCs w:val="21"/>
          <w:highlight w:val="none"/>
        </w:rPr>
        <w:t>（https://caigou.chinatelecom.com.cn/ctsc-portal/ctscPortal）后在“通知-系统公告”模块查阅《中国电信供应商不良行为管理规则》。</w:t>
      </w:r>
    </w:p>
    <w:p>
      <w:pPr>
        <w:tabs>
          <w:tab w:val="left" w:pos="0"/>
        </w:tabs>
        <w:adjustRightInd w:val="0"/>
        <w:snapToGrid w:val="0"/>
        <w:spacing w:line="420" w:lineRule="atLeast"/>
        <w:ind w:firstLine="420" w:firstLineChars="200"/>
        <w:rPr>
          <w:rFonts w:hint="eastAsia" w:ascii="宋体" w:hAnsi="宋体" w:eastAsia="宋体"/>
          <w:color w:val="auto"/>
          <w:sz w:val="21"/>
          <w:szCs w:val="21"/>
          <w:highlight w:val="none"/>
          <w:lang w:eastAsia="zh-CN"/>
        </w:rPr>
      </w:pP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1</w:t>
      </w:r>
      <w:r>
        <w:rPr>
          <w:rFonts w:hint="eastAsia" w:ascii="宋体" w:hAnsi="宋体"/>
          <w:color w:val="auto"/>
          <w:sz w:val="21"/>
          <w:szCs w:val="21"/>
          <w:highlight w:val="none"/>
          <w:lang w:eastAsia="zh-CN"/>
        </w:rPr>
        <w:t>）</w:t>
      </w:r>
      <w:r>
        <w:rPr>
          <w:rFonts w:hint="eastAsia" w:ascii="宋体" w:hAnsi="宋体" w:cs="宋体"/>
          <w:color w:val="auto"/>
          <w:kern w:val="0"/>
          <w:sz w:val="21"/>
          <w:szCs w:val="21"/>
          <w:highlight w:val="none"/>
        </w:rPr>
        <w:t>涉及的主要评估产品品类</w:t>
      </w:r>
      <w:r>
        <w:rPr>
          <w:rFonts w:hint="eastAsia" w:ascii="宋体" w:hAnsi="宋体" w:cs="宋体"/>
          <w:color w:val="auto"/>
          <w:kern w:val="0"/>
          <w:sz w:val="21"/>
          <w:szCs w:val="21"/>
          <w:highlight w:val="none"/>
          <w:lang w:eastAsia="zh-CN"/>
        </w:rPr>
        <w:t>：巡更系统</w:t>
      </w:r>
      <w:r>
        <w:rPr>
          <w:rFonts w:hint="eastAsia" w:ascii="宋体" w:hAnsi="宋体" w:cs="宋体"/>
          <w:color w:val="auto"/>
          <w:kern w:val="0"/>
          <w:sz w:val="21"/>
          <w:szCs w:val="21"/>
          <w:highlight w:val="yellow"/>
          <w:lang w:eastAsia="zh-CN"/>
        </w:rPr>
        <w:t>。</w:t>
      </w:r>
    </w:p>
    <w:p>
      <w:pPr>
        <w:tabs>
          <w:tab w:val="left" w:pos="0"/>
        </w:tabs>
        <w:adjustRightInd w:val="0"/>
        <w:snapToGrid w:val="0"/>
        <w:spacing w:line="420" w:lineRule="atLeast"/>
        <w:ind w:firstLine="420" w:firstLineChars="200"/>
        <w:rPr>
          <w:rFonts w:hint="eastAsia" w:ascii="宋体" w:hAnsi="宋体" w:eastAsia="宋体"/>
          <w:color w:val="auto"/>
          <w:sz w:val="21"/>
          <w:szCs w:val="21"/>
          <w:highlight w:val="none"/>
          <w:lang w:eastAsia="zh-CN"/>
        </w:rPr>
      </w:pP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2</w:t>
      </w:r>
      <w:r>
        <w:rPr>
          <w:rFonts w:hint="eastAsia" w:ascii="宋体" w:hAnsi="宋体"/>
          <w:color w:val="auto"/>
          <w:sz w:val="21"/>
          <w:szCs w:val="21"/>
          <w:highlight w:val="none"/>
        </w:rPr>
        <w:t>）技术要求：以</w:t>
      </w:r>
      <w:r>
        <w:rPr>
          <w:rFonts w:hint="eastAsia" w:ascii="宋体" w:hAnsi="宋体"/>
          <w:color w:val="auto"/>
          <w:sz w:val="21"/>
          <w:szCs w:val="21"/>
          <w:highlight w:val="none"/>
          <w:lang w:val="en-US" w:eastAsia="zh-CN"/>
        </w:rPr>
        <w:t>比选文件第五章</w:t>
      </w:r>
      <w:r>
        <w:rPr>
          <w:rFonts w:hint="eastAsia" w:ascii="宋体" w:hAnsi="宋体"/>
          <w:color w:val="auto"/>
          <w:sz w:val="21"/>
          <w:szCs w:val="21"/>
          <w:highlight w:val="none"/>
        </w:rPr>
        <w:t>技术规范书要求为准</w:t>
      </w:r>
      <w:r>
        <w:rPr>
          <w:rFonts w:hint="eastAsia" w:ascii="宋体" w:hAnsi="宋体"/>
          <w:color w:val="auto"/>
          <w:sz w:val="21"/>
          <w:szCs w:val="21"/>
          <w:highlight w:val="none"/>
          <w:lang w:eastAsia="zh-CN"/>
        </w:rPr>
        <w:t>。</w:t>
      </w:r>
    </w:p>
    <w:p>
      <w:pPr>
        <w:tabs>
          <w:tab w:val="left" w:pos="0"/>
        </w:tabs>
        <w:adjustRightInd w:val="0"/>
        <w:snapToGrid w:val="0"/>
        <w:spacing w:line="420" w:lineRule="atLeast"/>
        <w:ind w:firstLine="420" w:firstLineChars="200"/>
        <w:rPr>
          <w:rFonts w:hint="eastAsia" w:ascii="宋体" w:hAnsi="宋体" w:eastAsia="宋体"/>
          <w:color w:val="auto"/>
          <w:sz w:val="21"/>
          <w:szCs w:val="21"/>
          <w:highlight w:val="none"/>
          <w:lang w:eastAsia="zh-CN"/>
        </w:rPr>
      </w:pP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3</w:t>
      </w:r>
      <w:r>
        <w:rPr>
          <w:rFonts w:hint="eastAsia" w:ascii="宋体" w:hAnsi="宋体"/>
          <w:color w:val="auto"/>
          <w:sz w:val="21"/>
          <w:szCs w:val="21"/>
          <w:highlight w:val="none"/>
        </w:rPr>
        <w:t>）</w:t>
      </w:r>
      <w:r>
        <w:rPr>
          <w:rFonts w:hint="eastAsia" w:ascii="宋体" w:hAnsi="宋体" w:cs="宋体"/>
          <w:b/>
          <w:bCs/>
          <w:color w:val="auto"/>
          <w:kern w:val="0"/>
          <w:sz w:val="21"/>
          <w:szCs w:val="21"/>
          <w:highlight w:val="none"/>
        </w:rPr>
        <w:t>★</w:t>
      </w:r>
      <w:r>
        <w:rPr>
          <w:rFonts w:hint="eastAsia" w:ascii="宋体" w:hAnsi="宋体"/>
          <w:color w:val="auto"/>
          <w:sz w:val="21"/>
          <w:szCs w:val="21"/>
          <w:highlight w:val="none"/>
        </w:rPr>
        <w:t>工期要求：本合同生效之日起</w:t>
      </w:r>
      <w:r>
        <w:rPr>
          <w:rFonts w:hint="eastAsia" w:ascii="宋体" w:hAnsi="宋体"/>
          <w:color w:val="auto"/>
          <w:sz w:val="21"/>
          <w:szCs w:val="21"/>
          <w:highlight w:val="none"/>
          <w:lang w:val="en-US" w:eastAsia="zh-CN"/>
        </w:rPr>
        <w:t>30</w:t>
      </w:r>
      <w:r>
        <w:rPr>
          <w:rFonts w:hint="eastAsia" w:ascii="宋体" w:hAnsi="宋体"/>
          <w:color w:val="auto"/>
          <w:sz w:val="21"/>
          <w:szCs w:val="21"/>
          <w:highlight w:val="none"/>
        </w:rPr>
        <w:t>日内完成本项目系统集成。</w:t>
      </w:r>
    </w:p>
    <w:p>
      <w:pPr>
        <w:tabs>
          <w:tab w:val="left" w:pos="0"/>
        </w:tabs>
        <w:adjustRightInd w:val="0"/>
        <w:snapToGrid w:val="0"/>
        <w:spacing w:line="420" w:lineRule="atLeast"/>
        <w:ind w:firstLine="420" w:firstLineChars="200"/>
        <w:rPr>
          <w:color w:val="auto"/>
          <w:sz w:val="21"/>
          <w:szCs w:val="21"/>
          <w:highlight w:val="none"/>
        </w:rPr>
      </w:pP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4</w:t>
      </w:r>
      <w:r>
        <w:rPr>
          <w:rFonts w:hint="eastAsia" w:ascii="宋体" w:hAnsi="宋体"/>
          <w:color w:val="auto"/>
          <w:sz w:val="21"/>
          <w:szCs w:val="21"/>
          <w:highlight w:val="none"/>
        </w:rPr>
        <w:t>）</w:t>
      </w:r>
      <w:r>
        <w:rPr>
          <w:rFonts w:hint="eastAsia" w:ascii="宋体" w:hAnsi="宋体" w:cs="宋体"/>
          <w:b/>
          <w:bCs/>
          <w:color w:val="auto"/>
          <w:kern w:val="0"/>
          <w:sz w:val="21"/>
          <w:szCs w:val="21"/>
          <w:highlight w:val="none"/>
        </w:rPr>
        <w:t>★</w:t>
      </w:r>
      <w:r>
        <w:rPr>
          <w:rFonts w:hint="eastAsia" w:ascii="宋体" w:hAnsi="宋体"/>
          <w:color w:val="auto"/>
          <w:sz w:val="21"/>
          <w:szCs w:val="21"/>
          <w:highlight w:val="none"/>
        </w:rPr>
        <w:t>售后服务要求：自比选人签署终验证书之日起，为比选人提供为期</w:t>
      </w:r>
      <w:r>
        <w:rPr>
          <w:rFonts w:hint="eastAsia" w:ascii="宋体" w:hAnsi="宋体"/>
          <w:color w:val="auto"/>
          <w:sz w:val="21"/>
          <w:szCs w:val="21"/>
          <w:highlight w:val="none"/>
          <w:lang w:val="en-US" w:eastAsia="zh-CN"/>
        </w:rPr>
        <w:t>36</w:t>
      </w:r>
      <w:r>
        <w:rPr>
          <w:rFonts w:hint="eastAsia" w:ascii="宋体" w:hAnsi="宋体"/>
          <w:color w:val="auto"/>
          <w:sz w:val="21"/>
          <w:szCs w:val="21"/>
          <w:highlight w:val="none"/>
        </w:rPr>
        <w:t>个月的免费技术支持和服务（“保修期”）。</w:t>
      </w:r>
    </w:p>
    <w:p>
      <w:pPr>
        <w:tabs>
          <w:tab w:val="left" w:pos="0"/>
        </w:tabs>
        <w:adjustRightInd w:val="0"/>
        <w:snapToGrid w:val="0"/>
        <w:spacing w:line="420" w:lineRule="atLeast"/>
        <w:ind w:firstLine="420" w:firstLineChars="200"/>
        <w:rPr>
          <w:rStyle w:val="7"/>
          <w:rFonts w:hint="eastAsia" w:asciiTheme="minorEastAsia" w:hAnsiTheme="minorEastAsia" w:eastAsiaTheme="minorEastAsia"/>
          <w:color w:val="auto"/>
          <w:sz w:val="21"/>
          <w:szCs w:val="21"/>
          <w:highlight w:val="none"/>
        </w:rPr>
      </w:pPr>
      <w:r>
        <w:rPr>
          <w:rFonts w:hint="eastAsia"/>
          <w:color w:val="auto"/>
          <w:sz w:val="21"/>
          <w:szCs w:val="21"/>
          <w:highlight w:val="none"/>
        </w:rPr>
        <w:t>（</w:t>
      </w:r>
      <w:r>
        <w:rPr>
          <w:rFonts w:hint="eastAsia"/>
          <w:color w:val="auto"/>
          <w:sz w:val="21"/>
          <w:szCs w:val="21"/>
          <w:highlight w:val="none"/>
          <w:lang w:val="en-US" w:eastAsia="zh-CN"/>
        </w:rPr>
        <w:t>5</w:t>
      </w:r>
      <w:r>
        <w:rPr>
          <w:rFonts w:hint="eastAsia"/>
          <w:color w:val="auto"/>
          <w:sz w:val="21"/>
          <w:szCs w:val="21"/>
          <w:highlight w:val="none"/>
        </w:rPr>
        <w:t>）</w:t>
      </w:r>
      <w:r>
        <w:rPr>
          <w:rFonts w:hint="eastAsia" w:ascii="宋体" w:hAnsi="宋体" w:cs="宋体"/>
          <w:b/>
          <w:bCs/>
          <w:color w:val="auto"/>
          <w:kern w:val="0"/>
          <w:sz w:val="21"/>
          <w:szCs w:val="21"/>
          <w:highlight w:val="none"/>
        </w:rPr>
        <w:t>★</w:t>
      </w:r>
      <w:r>
        <w:rPr>
          <w:rStyle w:val="7"/>
          <w:rFonts w:hint="eastAsia" w:asciiTheme="minorEastAsia" w:hAnsiTheme="minorEastAsia" w:eastAsiaTheme="minorEastAsia"/>
          <w:color w:val="auto"/>
          <w:sz w:val="21"/>
          <w:szCs w:val="21"/>
          <w:highlight w:val="none"/>
        </w:rPr>
        <w:t>实施地点：</w:t>
      </w:r>
      <w:r>
        <w:rPr>
          <w:rStyle w:val="7"/>
          <w:rFonts w:hint="eastAsia" w:asciiTheme="minorEastAsia" w:hAnsiTheme="minorEastAsia" w:eastAsiaTheme="minorEastAsia"/>
          <w:color w:val="auto"/>
          <w:sz w:val="21"/>
          <w:szCs w:val="21"/>
          <w:highlight w:val="none"/>
          <w:lang w:val="en-US" w:eastAsia="zh-CN"/>
        </w:rPr>
        <w:t>福建省宁德市</w:t>
      </w:r>
      <w:r>
        <w:rPr>
          <w:rStyle w:val="7"/>
          <w:rFonts w:hint="eastAsia" w:asciiTheme="minorEastAsia" w:hAnsiTheme="minorEastAsia" w:eastAsiaTheme="minorEastAsia"/>
          <w:color w:val="auto"/>
          <w:sz w:val="21"/>
          <w:szCs w:val="21"/>
          <w:highlight w:val="none"/>
        </w:rPr>
        <w:t>宁德后岗电信附属八楼网络监控大厅。</w:t>
      </w:r>
    </w:p>
    <w:p>
      <w:pPr>
        <w:pStyle w:val="9"/>
        <w:numPr>
          <w:ilvl w:val="0"/>
          <w:numId w:val="0"/>
        </w:numPr>
        <w:adjustRightInd w:val="0"/>
        <w:snapToGrid w:val="0"/>
        <w:spacing w:line="440" w:lineRule="exact"/>
        <w:ind w:firstLine="420" w:firstLineChars="200"/>
        <w:rPr>
          <w:rStyle w:val="7"/>
          <w:rFonts w:hint="eastAsia" w:asciiTheme="minorEastAsia" w:hAnsiTheme="minorEastAsia" w:eastAsiaTheme="minorEastAsia"/>
          <w:color w:val="auto"/>
          <w:sz w:val="21"/>
          <w:szCs w:val="21"/>
          <w:highlight w:val="none"/>
          <w:lang w:eastAsia="zh-CN"/>
        </w:rPr>
      </w:pPr>
      <w:r>
        <w:rPr>
          <w:rStyle w:val="7"/>
          <w:rFonts w:hint="eastAsia" w:asciiTheme="minorEastAsia" w:hAnsiTheme="minorEastAsia" w:eastAsiaTheme="minorEastAsia"/>
          <w:color w:val="auto"/>
          <w:sz w:val="21"/>
          <w:szCs w:val="21"/>
          <w:highlight w:val="none"/>
          <w:lang w:eastAsia="zh-CN"/>
        </w:rPr>
        <w:t>（</w:t>
      </w:r>
      <w:r>
        <w:rPr>
          <w:rStyle w:val="7"/>
          <w:rFonts w:hint="eastAsia" w:asciiTheme="minorEastAsia" w:hAnsiTheme="minorEastAsia" w:eastAsiaTheme="minorEastAsia"/>
          <w:color w:val="auto"/>
          <w:sz w:val="21"/>
          <w:szCs w:val="21"/>
          <w:highlight w:val="none"/>
          <w:lang w:val="en-US" w:eastAsia="zh-CN"/>
        </w:rPr>
        <w:t>6</w:t>
      </w:r>
      <w:r>
        <w:rPr>
          <w:rStyle w:val="7"/>
          <w:rFonts w:hint="eastAsia" w:asciiTheme="minorEastAsia" w:hAnsiTheme="minorEastAsia" w:eastAsiaTheme="minorEastAsia"/>
          <w:color w:val="auto"/>
          <w:sz w:val="21"/>
          <w:szCs w:val="21"/>
          <w:highlight w:val="none"/>
          <w:lang w:eastAsia="zh-CN"/>
        </w:rPr>
        <w:t>）</w:t>
      </w:r>
      <w:r>
        <w:rPr>
          <w:rFonts w:hint="eastAsia" w:ascii="宋体" w:hAnsi="宋体" w:cs="宋体"/>
          <w:b/>
          <w:bCs/>
          <w:color w:val="auto"/>
          <w:kern w:val="0"/>
          <w:sz w:val="21"/>
          <w:szCs w:val="21"/>
          <w:highlight w:val="none"/>
        </w:rPr>
        <w:t>★</w:t>
      </w:r>
      <w:r>
        <w:rPr>
          <w:rStyle w:val="7"/>
          <w:rFonts w:hint="eastAsia" w:asciiTheme="minorEastAsia" w:hAnsiTheme="minorEastAsia" w:eastAsiaTheme="minorEastAsia"/>
          <w:color w:val="auto"/>
          <w:sz w:val="21"/>
          <w:szCs w:val="21"/>
          <w:highlight w:val="none"/>
          <w:lang w:eastAsia="zh-CN"/>
        </w:rPr>
        <w:t>本项目为交钥匙工程。报价包括项目提及的所有设备及主材、辅材，以及LED建设。未予提及而又为项目实施需要的所有费用都包含在报价范围内，项目实施过程总价不再增补任何费用。</w:t>
      </w:r>
    </w:p>
    <w:p>
      <w:pPr>
        <w:pStyle w:val="9"/>
        <w:numPr>
          <w:ilvl w:val="0"/>
          <w:numId w:val="0"/>
        </w:numPr>
        <w:adjustRightInd w:val="0"/>
        <w:snapToGrid w:val="0"/>
        <w:spacing w:line="440" w:lineRule="exac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1.3本项目不划分分包。</w:t>
      </w:r>
    </w:p>
    <w:p>
      <w:pPr>
        <w:tabs>
          <w:tab w:val="left" w:pos="0"/>
        </w:tabs>
        <w:adjustRightInd w:val="0"/>
        <w:snapToGrid w:val="0"/>
        <w:spacing w:line="420" w:lineRule="atLeast"/>
        <w:ind w:firstLine="420" w:firstLineChars="200"/>
        <w:rPr>
          <w:rFonts w:hint="eastAsia" w:ascii="宋体" w:hAnsi="宋体"/>
          <w:color w:val="auto"/>
          <w:sz w:val="24"/>
          <w:szCs w:val="24"/>
          <w:highlight w:val="none"/>
        </w:rPr>
      </w:pPr>
      <w:r>
        <w:rPr>
          <w:rFonts w:hint="eastAsia" w:ascii="宋体" w:hAnsi="宋体"/>
          <w:color w:val="auto"/>
          <w:sz w:val="21"/>
          <w:szCs w:val="21"/>
          <w:highlight w:val="none"/>
          <w:lang w:val="en-US" w:eastAsia="zh-CN"/>
        </w:rPr>
        <w:t>1.4</w:t>
      </w:r>
      <w:r>
        <w:rPr>
          <w:rFonts w:hint="eastAsia" w:ascii="宋体" w:hAnsi="宋体"/>
          <w:color w:val="auto"/>
          <w:szCs w:val="21"/>
          <w:highlight w:val="none"/>
        </w:rPr>
        <w:t>本项目</w:t>
      </w:r>
      <w:r>
        <w:rPr>
          <w:rFonts w:ascii="宋体" w:hAnsi="宋体"/>
          <w:color w:val="auto"/>
          <w:szCs w:val="21"/>
          <w:highlight w:val="none"/>
        </w:rPr>
        <w:t>设置最高</w:t>
      </w:r>
      <w:r>
        <w:rPr>
          <w:rFonts w:hint="eastAsia" w:ascii="宋体" w:hAnsi="宋体"/>
          <w:color w:val="auto"/>
          <w:szCs w:val="21"/>
          <w:highlight w:val="none"/>
        </w:rPr>
        <w:t>参选限价，最高</w:t>
      </w:r>
      <w:r>
        <w:rPr>
          <w:rFonts w:hint="eastAsia" w:ascii="宋体" w:hAnsi="宋体"/>
          <w:color w:val="auto"/>
          <w:szCs w:val="21"/>
          <w:highlight w:val="none"/>
          <w:lang w:val="en-US" w:eastAsia="zh-CN"/>
        </w:rPr>
        <w:t>不含税参选总价</w:t>
      </w:r>
      <w:r>
        <w:rPr>
          <w:rFonts w:hint="eastAsia" w:ascii="宋体" w:hAnsi="宋体"/>
          <w:color w:val="auto"/>
          <w:szCs w:val="21"/>
          <w:highlight w:val="none"/>
        </w:rPr>
        <w:t>限价</w:t>
      </w:r>
      <w:r>
        <w:rPr>
          <w:rFonts w:hint="eastAsia" w:ascii="宋体" w:hAnsi="宋体"/>
          <w:color w:val="auto"/>
          <w:szCs w:val="21"/>
          <w:highlight w:val="none"/>
          <w:u w:val="none"/>
        </w:rPr>
        <w:t>为</w:t>
      </w:r>
      <w:r>
        <w:rPr>
          <w:rFonts w:hint="eastAsia" w:ascii="宋体" w:hAnsi="宋体"/>
          <w:color w:val="000000" w:themeColor="text1"/>
          <w:szCs w:val="21"/>
          <w:u w:val="none"/>
          <w:lang w:val="en-US" w:eastAsia="zh-CN"/>
          <w14:textFill>
            <w14:solidFill>
              <w14:schemeClr w14:val="tx1"/>
            </w14:solidFill>
          </w14:textFill>
        </w:rPr>
        <w:t>27</w:t>
      </w:r>
      <w:r>
        <w:rPr>
          <w:rFonts w:hint="eastAsia" w:ascii="宋体" w:hAnsi="宋体" w:eastAsia="宋体"/>
          <w:color w:val="000000" w:themeColor="text1"/>
          <w:szCs w:val="21"/>
          <w:u w:val="none"/>
          <w14:textFill>
            <w14:solidFill>
              <w14:schemeClr w14:val="tx1"/>
            </w14:solidFill>
          </w14:textFill>
        </w:rPr>
        <w:t>万元人民币</w:t>
      </w:r>
      <w:r>
        <w:rPr>
          <w:rFonts w:hint="eastAsia" w:ascii="宋体" w:hAnsi="宋体"/>
          <w:color w:val="auto"/>
          <w:szCs w:val="21"/>
          <w:highlight w:val="none"/>
          <w:u w:val="none"/>
        </w:rPr>
        <w:t>，</w:t>
      </w:r>
      <w:r>
        <w:rPr>
          <w:rFonts w:hint="eastAsia" w:ascii="宋体" w:hAnsi="宋体"/>
          <w:color w:val="auto"/>
          <w:szCs w:val="21"/>
          <w:highlight w:val="none"/>
        </w:rPr>
        <w:t>参选人参选报价高于最高参选限价的，其参选将被否决。</w:t>
      </w:r>
    </w:p>
    <w:p>
      <w:pPr>
        <w:pStyle w:val="9"/>
        <w:numPr>
          <w:ilvl w:val="0"/>
          <w:numId w:val="0"/>
        </w:numPr>
        <w:adjustRightInd w:val="0"/>
        <w:snapToGrid w:val="0"/>
        <w:spacing w:line="440" w:lineRule="exact"/>
        <w:ind w:leftChars="0"/>
        <w:rPr>
          <w:rFonts w:ascii="宋体" w:hAnsi="宋体"/>
          <w:b/>
          <w:color w:val="auto"/>
          <w:szCs w:val="21"/>
          <w:highlight w:val="none"/>
        </w:rPr>
      </w:pPr>
      <w:r>
        <w:rPr>
          <w:rFonts w:hint="eastAsia" w:ascii="宋体" w:hAnsi="宋体"/>
          <w:b/>
          <w:color w:val="auto"/>
          <w:szCs w:val="21"/>
          <w:highlight w:val="none"/>
          <w:lang w:val="en-US" w:eastAsia="zh-CN"/>
        </w:rPr>
        <w:t>2.</w:t>
      </w:r>
      <w:r>
        <w:rPr>
          <w:rFonts w:hint="eastAsia" w:ascii="宋体" w:hAnsi="宋体"/>
          <w:b/>
          <w:color w:val="auto"/>
          <w:szCs w:val="21"/>
          <w:highlight w:val="none"/>
        </w:rPr>
        <w:t>参选人资格要求</w:t>
      </w:r>
      <w:bookmarkEnd w:id="1"/>
      <w:bookmarkEnd w:id="2"/>
      <w:bookmarkEnd w:id="3"/>
    </w:p>
    <w:p>
      <w:pPr>
        <w:pageBreakBefore w:val="0"/>
        <w:kinsoku/>
        <w:overflowPunct/>
        <w:bidi w:val="0"/>
        <w:spacing w:line="360" w:lineRule="auto"/>
        <w:rPr>
          <w:rFonts w:hint="eastAsia" w:ascii="宋体" w:hAnsi="宋体" w:eastAsia="宋体" w:cs="宋体"/>
          <w:b/>
          <w:bCs/>
          <w:color w:val="auto"/>
          <w:szCs w:val="21"/>
          <w:highlight w:val="none"/>
        </w:rPr>
      </w:pPr>
      <w:bookmarkStart w:id="4" w:name="_Toc319769474"/>
      <w:bookmarkStart w:id="5" w:name="_Toc184704556"/>
      <w:bookmarkStart w:id="6" w:name="_Toc319394715"/>
      <w:r>
        <w:rPr>
          <w:rFonts w:hint="eastAsia" w:ascii="宋体" w:hAnsi="宋体" w:eastAsia="宋体" w:cs="宋体"/>
          <w:b/>
          <w:bCs/>
          <w:color w:val="auto"/>
          <w:szCs w:val="21"/>
          <w:highlight w:val="none"/>
        </w:rPr>
        <w:t>2.1参选人基本资格要求</w:t>
      </w:r>
    </w:p>
    <w:p>
      <w:pPr>
        <w:spacing w:line="440" w:lineRule="exact"/>
        <w:ind w:firstLine="424" w:firstLineChars="202"/>
        <w:rPr>
          <w:rFonts w:ascii="宋体" w:hAnsi="宋体"/>
          <w:color w:val="auto"/>
          <w:sz w:val="21"/>
          <w:szCs w:val="21"/>
          <w:highlight w:val="none"/>
        </w:rPr>
      </w:pPr>
      <w:r>
        <w:rPr>
          <w:rFonts w:hint="eastAsia" w:ascii="宋体" w:hAnsi="宋体"/>
          <w:color w:val="auto"/>
          <w:sz w:val="21"/>
          <w:szCs w:val="21"/>
          <w:highlight w:val="none"/>
        </w:rPr>
        <w:t>2.1.1参选人应为中华人民共和国境内法律上和财务上独立的法人或依法登记注册的其他组织，合法运作并独立于比选人和比选代理机构。</w:t>
      </w:r>
    </w:p>
    <w:p>
      <w:pPr>
        <w:spacing w:line="440" w:lineRule="exact"/>
        <w:ind w:firstLine="424" w:firstLineChars="202"/>
        <w:rPr>
          <w:rFonts w:ascii="宋体" w:hAnsi="宋体"/>
          <w:color w:val="auto"/>
          <w:sz w:val="21"/>
          <w:szCs w:val="21"/>
          <w:highlight w:val="none"/>
        </w:rPr>
      </w:pPr>
      <w:r>
        <w:rPr>
          <w:rFonts w:hint="eastAsia" w:ascii="宋体" w:hAnsi="宋体"/>
          <w:color w:val="auto"/>
          <w:sz w:val="21"/>
          <w:szCs w:val="21"/>
          <w:highlight w:val="none"/>
        </w:rPr>
        <w:t>2.1.2本次比选不接受联合体参选。</w:t>
      </w:r>
    </w:p>
    <w:p>
      <w:pPr>
        <w:spacing w:line="440" w:lineRule="exact"/>
        <w:ind w:firstLine="424" w:firstLineChars="202"/>
        <w:rPr>
          <w:rFonts w:hint="eastAsia" w:ascii="宋体" w:hAnsi="宋体"/>
          <w:color w:val="auto"/>
          <w:sz w:val="21"/>
          <w:szCs w:val="21"/>
          <w:highlight w:val="none"/>
        </w:rPr>
      </w:pPr>
      <w:r>
        <w:rPr>
          <w:rFonts w:hint="eastAsia" w:ascii="宋体" w:hAnsi="宋体"/>
          <w:color w:val="auto"/>
          <w:sz w:val="21"/>
          <w:szCs w:val="21"/>
          <w:highlight w:val="none"/>
        </w:rPr>
        <w:t>2.1.3参选人的法定代表人或负责人为同一人或者存在控股、管理关系的不同参选人，不得参加同一分包参选或者未划分分包的同一比选项目参选。</w:t>
      </w:r>
    </w:p>
    <w:p>
      <w:pPr>
        <w:spacing w:line="440" w:lineRule="exact"/>
        <w:ind w:firstLine="420" w:firstLineChars="200"/>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2.1.4 本项目接受代理商参选，代理商参选时需提供制造商针对本次参选所投主要产品（LED显示屏）开具的授权函，且该制造商不得再自行参选或再委托其它参选人参选。</w:t>
      </w:r>
    </w:p>
    <w:p>
      <w:pPr>
        <w:pageBreakBefore w:val="0"/>
        <w:kinsoku/>
        <w:overflowPunct/>
        <w:bidi w:val="0"/>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b/>
          <w:color w:val="auto"/>
          <w:szCs w:val="21"/>
          <w:highlight w:val="none"/>
        </w:rPr>
        <w:t>2.2参选人不得存在下列情形之一</w:t>
      </w:r>
    </w:p>
    <w:p>
      <w:pPr>
        <w:pageBreakBefore w:val="0"/>
        <w:kinsoku/>
        <w:overflowPunct/>
        <w:bidi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（1）为比选人不具有独立法人资格的附属机构（单位）；</w:t>
      </w:r>
    </w:p>
    <w:p>
      <w:pPr>
        <w:pageBreakBefore w:val="0"/>
        <w:kinsoku/>
        <w:overflowPunct/>
        <w:bidi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（2）被依法暂停或取消参选资格的；</w:t>
      </w:r>
    </w:p>
    <w:p>
      <w:pPr>
        <w:pageBreakBefore w:val="0"/>
        <w:kinsoku/>
        <w:overflowPunct/>
        <w:bidi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（3）被责令停产停业、暂扣或者吊销许可证、暂扣或者吊销执照； </w:t>
      </w:r>
    </w:p>
    <w:p>
      <w:pPr>
        <w:pageBreakBefore w:val="0"/>
        <w:kinsoku/>
        <w:overflowPunct/>
        <w:bidi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（4）进入清算程序，或被宣告破产，或其他丧失履约能力的情形； </w:t>
      </w:r>
    </w:p>
    <w:p>
      <w:pPr>
        <w:pageBreakBefore w:val="0"/>
        <w:kinsoku/>
        <w:overflowPunct/>
        <w:bidi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（5）在最近三年内（自20</w:t>
      </w:r>
      <w:r>
        <w:rPr>
          <w:rFonts w:hint="eastAsia" w:ascii="宋体" w:hAnsi="宋体" w:cs="宋体"/>
          <w:color w:val="auto"/>
          <w:szCs w:val="21"/>
          <w:highlight w:val="none"/>
          <w:lang w:val="en-US" w:eastAsia="zh-CN"/>
        </w:rPr>
        <w:t>20</w:t>
      </w:r>
      <w:r>
        <w:rPr>
          <w:rFonts w:hint="eastAsia" w:ascii="宋体" w:hAnsi="宋体" w:eastAsia="宋体" w:cs="宋体"/>
          <w:color w:val="auto"/>
          <w:szCs w:val="21"/>
          <w:highlight w:val="none"/>
          <w:lang w:val="en-US" w:eastAsia="zh-CN"/>
        </w:rPr>
        <w:t>年起，月日以参选递交截止时间的月日为准）被相关行业主管部门或司法机关认定有骗取中选、严重违约、重大工程质量或者安全问题的；</w:t>
      </w:r>
    </w:p>
    <w:p>
      <w:pPr>
        <w:pageBreakBefore w:val="0"/>
        <w:kinsoku/>
        <w:overflowPunct/>
        <w:bidi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（6）在最近五年内（自201</w:t>
      </w: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lang w:val="en-US" w:eastAsia="zh-CN"/>
        </w:rPr>
        <w:t>年起，月日以参选递交截止时间的月日为准）被判处单位行贿罪，且行贿行为与采购活动相关的（以“中国裁判文书网”的生效判决为准）；</w:t>
      </w:r>
    </w:p>
    <w:p>
      <w:pPr>
        <w:pageBreakBefore w:val="0"/>
        <w:kinsoku/>
        <w:overflowPunct/>
        <w:bidi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（7）在最近五年内（自201</w:t>
      </w: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lang w:val="en-US" w:eastAsia="zh-CN"/>
        </w:rPr>
        <w:t>年起，月日以参选递交截止时间的月日为准）被判处合同诈骗罪的（以“中国裁判文书网”的生效判决为准）；</w:t>
      </w:r>
    </w:p>
    <w:p>
      <w:pPr>
        <w:pageBreakBefore w:val="0"/>
        <w:kinsoku/>
        <w:overflowPunct/>
        <w:bidi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（8）被最高人民法院认定为失信被执行人的(以“信用中国”网站（www.creditchina.gov.cn）或各级信用信息共享平台公布的失信被执行人名单为准)，已执行完毕或不再执行的除外；</w:t>
      </w:r>
    </w:p>
    <w:p>
      <w:pPr>
        <w:numPr>
          <w:ilvl w:val="0"/>
          <w:numId w:val="0"/>
        </w:numPr>
        <w:tabs>
          <w:tab w:val="left" w:pos="0"/>
          <w:tab w:val="left" w:pos="993"/>
          <w:tab w:val="left" w:pos="2564"/>
        </w:tabs>
        <w:spacing w:line="440" w:lineRule="exact"/>
        <w:ind w:left="0" w:leftChars="0" w:firstLine="420" w:firstLineChars="200"/>
        <w:rPr>
          <w:rFonts w:hint="eastAsia" w:asciiTheme="minorEastAsia" w:hAnsiTheme="minorEastAsia" w:eastAsiaTheme="minorEastAsia"/>
          <w:szCs w:val="21"/>
        </w:rPr>
      </w:pPr>
      <w:r>
        <w:rPr>
          <w:rFonts w:hint="eastAsia" w:asciiTheme="minorEastAsia" w:hAnsiTheme="minorEastAsia" w:eastAsiaTheme="minorEastAsia"/>
          <w:lang w:eastAsia="zh-CN"/>
        </w:rPr>
        <w:t>（</w:t>
      </w:r>
      <w:r>
        <w:rPr>
          <w:rFonts w:hint="eastAsia" w:asciiTheme="minorEastAsia" w:hAnsiTheme="minorEastAsia" w:eastAsiaTheme="minorEastAsia"/>
          <w:lang w:val="en-US" w:eastAsia="zh-CN"/>
        </w:rPr>
        <w:t>9</w:t>
      </w:r>
      <w:r>
        <w:rPr>
          <w:rFonts w:hint="eastAsia" w:asciiTheme="minorEastAsia" w:hAnsiTheme="minorEastAsia" w:eastAsiaTheme="minorEastAsia"/>
          <w:lang w:eastAsia="zh-CN"/>
        </w:rPr>
        <w:t>）</w:t>
      </w:r>
      <w:r>
        <w:rPr>
          <w:rFonts w:hint="eastAsia" w:asciiTheme="minorEastAsia" w:hAnsiTheme="minorEastAsia" w:eastAsiaTheme="minorEastAsia"/>
          <w:szCs w:val="21"/>
        </w:rPr>
        <w:t>为本比选项目提供过设计、编制技术规范和其他文件的咨询服务；</w:t>
      </w:r>
    </w:p>
    <w:p>
      <w:pPr>
        <w:numPr>
          <w:ilvl w:val="0"/>
          <w:numId w:val="0"/>
        </w:numPr>
        <w:tabs>
          <w:tab w:val="left" w:pos="0"/>
          <w:tab w:val="left" w:pos="993"/>
          <w:tab w:val="left" w:pos="2564"/>
        </w:tabs>
        <w:spacing w:line="440" w:lineRule="exact"/>
        <w:ind w:left="0" w:leftChars="0"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10</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为本工程项目的相关监理人，或者与本工程项目的相关监理人存在隶属关系或者其他利害关系；</w:t>
      </w:r>
    </w:p>
    <w:p>
      <w:pPr>
        <w:numPr>
          <w:ilvl w:val="0"/>
          <w:numId w:val="0"/>
        </w:numPr>
        <w:tabs>
          <w:tab w:val="left" w:pos="0"/>
          <w:tab w:val="left" w:pos="993"/>
          <w:tab w:val="left" w:pos="2564"/>
        </w:tabs>
        <w:spacing w:line="440" w:lineRule="exact"/>
        <w:ind w:left="0" w:leftChars="0" w:firstLine="420" w:firstLineChars="200"/>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11</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为本比选项目的代建人；</w:t>
      </w:r>
    </w:p>
    <w:p>
      <w:pPr>
        <w:numPr>
          <w:ilvl w:val="0"/>
          <w:numId w:val="0"/>
        </w:numPr>
        <w:tabs>
          <w:tab w:val="left" w:pos="0"/>
          <w:tab w:val="left" w:pos="993"/>
          <w:tab w:val="left" w:pos="2564"/>
        </w:tabs>
        <w:spacing w:line="440" w:lineRule="exact"/>
        <w:ind w:left="0" w:leftChars="0" w:firstLine="420" w:firstLineChars="200"/>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12</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为本比选项目的比选代理机构；</w:t>
      </w:r>
    </w:p>
    <w:p>
      <w:pPr>
        <w:numPr>
          <w:ilvl w:val="0"/>
          <w:numId w:val="0"/>
        </w:numPr>
        <w:tabs>
          <w:tab w:val="left" w:pos="0"/>
          <w:tab w:val="left" w:pos="993"/>
          <w:tab w:val="left" w:pos="2564"/>
        </w:tabs>
        <w:spacing w:line="440" w:lineRule="exact"/>
        <w:ind w:left="0" w:leftChars="0" w:firstLine="420" w:firstLineChars="200"/>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13</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与本比选项目的监理人或代建人或比选代理机构同为一个法定代表人；</w:t>
      </w:r>
    </w:p>
    <w:p>
      <w:pPr>
        <w:numPr>
          <w:ilvl w:val="0"/>
          <w:numId w:val="0"/>
        </w:numPr>
        <w:tabs>
          <w:tab w:val="left" w:pos="0"/>
          <w:tab w:val="left" w:pos="993"/>
          <w:tab w:val="left" w:pos="2564"/>
        </w:tabs>
        <w:spacing w:line="440" w:lineRule="exact"/>
        <w:ind w:left="0" w:leftChars="0" w:firstLine="420" w:firstLineChars="200"/>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14</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与本比选项目的监理人或代建人或比选代理机构存在控股或参股关系；</w:t>
      </w:r>
    </w:p>
    <w:p>
      <w:pPr>
        <w:numPr>
          <w:ilvl w:val="0"/>
          <w:numId w:val="0"/>
        </w:numPr>
        <w:tabs>
          <w:tab w:val="left" w:pos="0"/>
          <w:tab w:val="left" w:pos="993"/>
          <w:tab w:val="left" w:pos="2564"/>
        </w:tabs>
        <w:spacing w:line="440" w:lineRule="exact"/>
        <w:ind w:left="0" w:leftChars="0" w:firstLine="420" w:firstLineChars="200"/>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15</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被工商行政管理机关在国家企业信用信息公示系统中列入严重违法失信企业名单</w:t>
      </w:r>
      <w:r>
        <w:rPr>
          <w:rFonts w:asciiTheme="minorEastAsia" w:hAnsiTheme="minorEastAsia" w:eastAsiaTheme="minorEastAsia"/>
          <w:szCs w:val="21"/>
        </w:rPr>
        <w:t>的；</w:t>
      </w:r>
    </w:p>
    <w:p>
      <w:pPr>
        <w:numPr>
          <w:ilvl w:val="0"/>
          <w:numId w:val="0"/>
        </w:numPr>
        <w:tabs>
          <w:tab w:val="left" w:pos="0"/>
          <w:tab w:val="left" w:pos="993"/>
          <w:tab w:val="left" w:pos="2564"/>
        </w:tabs>
        <w:spacing w:line="440" w:lineRule="exact"/>
        <w:ind w:left="0" w:leftChars="0" w:firstLine="420" w:firstLineChars="200"/>
        <w:rPr>
          <w:rFonts w:hint="eastAsia" w:asciiTheme="minorEastAsia" w:hAnsiTheme="minorEastAsia" w:eastAsiaTheme="minorEastAsia"/>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16</w:t>
      </w:r>
      <w:r>
        <w:rPr>
          <w:rFonts w:hint="eastAsia" w:asciiTheme="minorEastAsia" w:hAnsiTheme="minorEastAsia" w:eastAsiaTheme="minorEastAsia"/>
          <w:szCs w:val="21"/>
          <w:lang w:eastAsia="zh-CN"/>
        </w:rPr>
        <w:t>）其他按照《中国电信供应商不良行为管理规则》及处理结果，应对参选人及其参选</w:t>
      </w:r>
      <w:r>
        <w:rPr>
          <w:rFonts w:hint="eastAsia" w:asciiTheme="minorEastAsia" w:hAnsiTheme="minorEastAsia" w:eastAsiaTheme="minorEastAsia"/>
        </w:rPr>
        <w:t>产品品类在本项目中执行禁止采购处理措施的。同一标包或未划分标包的同一比选项目涉及多个产品评估品类的，参选人及其任一参选产品品类涉及相关禁止采购处理结果的，该标包或比选项目应适用相关的禁止采购处理措施。</w:t>
      </w:r>
    </w:p>
    <w:p>
      <w:pPr>
        <w:numPr>
          <w:ilvl w:val="0"/>
          <w:numId w:val="0"/>
        </w:numPr>
        <w:spacing w:line="440" w:lineRule="exact"/>
        <w:ind w:firstLine="420" w:firstLineChars="200"/>
        <w:rPr>
          <w:rFonts w:hint="eastAsia" w:ascii="宋体" w:hAnsi="宋体" w:eastAsia="宋体" w:cs="宋体"/>
          <w:color w:val="auto"/>
          <w:kern w:val="2"/>
          <w:sz w:val="21"/>
          <w:szCs w:val="21"/>
          <w:highlight w:val="none"/>
          <w:lang w:val="en-US" w:eastAsia="zh-CN" w:bidi="ar-SA"/>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17</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法律法规、比选文件限定的其他情形。</w:t>
      </w:r>
    </w:p>
    <w:p>
      <w:pPr>
        <w:pStyle w:val="9"/>
        <w:numPr>
          <w:ilvl w:val="0"/>
          <w:numId w:val="0"/>
        </w:numPr>
        <w:adjustRightInd w:val="0"/>
        <w:snapToGrid w:val="0"/>
        <w:spacing w:line="440" w:lineRule="exact"/>
        <w:ind w:leftChars="0"/>
        <w:rPr>
          <w:rFonts w:ascii="宋体" w:hAnsi="宋体"/>
          <w:b/>
          <w:color w:val="auto"/>
          <w:szCs w:val="21"/>
          <w:highlight w:val="none"/>
        </w:rPr>
      </w:pPr>
      <w:r>
        <w:rPr>
          <w:rFonts w:hint="eastAsia" w:ascii="宋体" w:hAnsi="宋体"/>
          <w:b/>
          <w:color w:val="auto"/>
          <w:szCs w:val="21"/>
          <w:highlight w:val="none"/>
          <w:lang w:val="en-US" w:eastAsia="zh-CN"/>
        </w:rPr>
        <w:t>3.</w:t>
      </w:r>
      <w:r>
        <w:rPr>
          <w:rFonts w:hint="eastAsia" w:ascii="宋体" w:hAnsi="宋体"/>
          <w:b/>
          <w:color w:val="auto"/>
          <w:szCs w:val="21"/>
          <w:highlight w:val="none"/>
        </w:rPr>
        <w:t>资格审查方法</w:t>
      </w:r>
      <w:bookmarkEnd w:id="4"/>
      <w:bookmarkEnd w:id="5"/>
      <w:bookmarkEnd w:id="6"/>
    </w:p>
    <w:p>
      <w:pPr>
        <w:pStyle w:val="9"/>
        <w:adjustRightInd w:val="0"/>
        <w:snapToGrid w:val="0"/>
        <w:spacing w:line="440" w:lineRule="exact"/>
        <w:rPr>
          <w:rFonts w:ascii="宋体" w:hAnsi="宋体"/>
          <w:color w:val="auto"/>
          <w:szCs w:val="21"/>
          <w:highlight w:val="none"/>
        </w:rPr>
      </w:pPr>
      <w:r>
        <w:rPr>
          <w:rFonts w:hint="eastAsia" w:ascii="宋体" w:hAnsi="宋体"/>
          <w:color w:val="auto"/>
          <w:szCs w:val="21"/>
          <w:highlight w:val="none"/>
        </w:rPr>
        <w:t>本项目将进行资格后审，资格审查标准和内容见比选文件第三章“评选办法”，凡未通过资格后审的参选人，其参选将被否决。</w:t>
      </w:r>
    </w:p>
    <w:p>
      <w:pPr>
        <w:pStyle w:val="9"/>
        <w:numPr>
          <w:ilvl w:val="0"/>
          <w:numId w:val="0"/>
        </w:numPr>
        <w:adjustRightInd w:val="0"/>
        <w:snapToGrid w:val="0"/>
        <w:spacing w:line="440" w:lineRule="exact"/>
        <w:ind w:leftChars="0"/>
        <w:rPr>
          <w:rFonts w:ascii="宋体" w:hAnsi="宋体"/>
          <w:b/>
          <w:color w:val="auto"/>
          <w:szCs w:val="21"/>
          <w:highlight w:val="none"/>
        </w:rPr>
      </w:pPr>
      <w:r>
        <w:rPr>
          <w:rFonts w:hint="eastAsia" w:ascii="宋体" w:hAnsi="宋体"/>
          <w:b/>
          <w:color w:val="auto"/>
          <w:szCs w:val="21"/>
          <w:highlight w:val="none"/>
          <w:lang w:val="en-US" w:eastAsia="zh-CN"/>
        </w:rPr>
        <w:t>4.</w:t>
      </w:r>
      <w:r>
        <w:rPr>
          <w:rFonts w:hint="eastAsia" w:ascii="宋体" w:hAnsi="宋体"/>
          <w:b/>
          <w:color w:val="auto"/>
          <w:szCs w:val="21"/>
          <w:highlight w:val="none"/>
        </w:rPr>
        <w:t>比选文件获取</w:t>
      </w:r>
    </w:p>
    <w:p>
      <w:pPr>
        <w:numPr>
          <w:ilvl w:val="0"/>
          <w:numId w:val="0"/>
        </w:numPr>
        <w:spacing w:line="440" w:lineRule="exact"/>
        <w:ind w:firstLine="428" w:firstLineChars="200"/>
        <w:rPr>
          <w:rFonts w:ascii="宋体" w:hAnsi="宋体"/>
          <w:color w:val="auto"/>
          <w:spacing w:val="2"/>
          <w:szCs w:val="21"/>
          <w:highlight w:val="none"/>
        </w:rPr>
      </w:pPr>
      <w:r>
        <w:rPr>
          <w:rFonts w:hint="eastAsia" w:ascii="宋体" w:hAnsi="宋体"/>
          <w:color w:val="auto"/>
          <w:spacing w:val="2"/>
          <w:szCs w:val="21"/>
          <w:highlight w:val="none"/>
          <w:lang w:val="en-US" w:eastAsia="zh-CN"/>
        </w:rPr>
        <w:t>4.1</w:t>
      </w:r>
      <w:r>
        <w:rPr>
          <w:rFonts w:hint="eastAsia" w:ascii="宋体" w:hAnsi="宋体"/>
          <w:color w:val="auto"/>
          <w:spacing w:val="2"/>
          <w:szCs w:val="21"/>
          <w:highlight w:val="none"/>
        </w:rPr>
        <w:t>比选文件获取时间：</w:t>
      </w:r>
      <w:r>
        <w:rPr>
          <w:rFonts w:hint="eastAsia" w:ascii="宋体" w:hAnsi="宋体" w:eastAsia="宋体" w:cs="宋体"/>
          <w:color w:val="auto"/>
          <w:szCs w:val="21"/>
          <w:highlight w:val="none"/>
          <w:u w:val="none"/>
        </w:rPr>
        <w:t>202</w:t>
      </w:r>
      <w:r>
        <w:rPr>
          <w:rFonts w:hint="eastAsia" w:ascii="宋体" w:hAnsi="宋体" w:cs="宋体"/>
          <w:color w:val="auto"/>
          <w:szCs w:val="21"/>
          <w:highlight w:val="none"/>
          <w:u w:val="none"/>
          <w:lang w:val="en-US" w:eastAsia="zh-CN"/>
        </w:rPr>
        <w:t>3</w:t>
      </w:r>
      <w:r>
        <w:rPr>
          <w:rFonts w:hint="eastAsia" w:ascii="宋体" w:hAnsi="宋体" w:eastAsia="宋体" w:cs="宋体"/>
          <w:color w:val="auto"/>
          <w:szCs w:val="21"/>
          <w:highlight w:val="none"/>
          <w:u w:val="none"/>
        </w:rPr>
        <w:t>年</w:t>
      </w:r>
      <w:r>
        <w:rPr>
          <w:rFonts w:hint="eastAsia" w:ascii="宋体" w:hAnsi="宋体" w:cs="宋体"/>
          <w:color w:val="auto"/>
          <w:szCs w:val="21"/>
          <w:highlight w:val="none"/>
          <w:u w:val="none"/>
          <w:lang w:val="en-US" w:eastAsia="zh-CN"/>
        </w:rPr>
        <w:t>5</w:t>
      </w:r>
      <w:r>
        <w:rPr>
          <w:rFonts w:hint="eastAsia" w:ascii="宋体" w:hAnsi="宋体" w:eastAsia="宋体" w:cs="宋体"/>
          <w:color w:val="auto"/>
          <w:szCs w:val="21"/>
          <w:highlight w:val="none"/>
          <w:u w:val="none"/>
        </w:rPr>
        <w:t>月</w:t>
      </w:r>
      <w:r>
        <w:rPr>
          <w:rFonts w:hint="eastAsia" w:ascii="宋体" w:hAnsi="宋体" w:cs="宋体"/>
          <w:color w:val="auto"/>
          <w:szCs w:val="21"/>
          <w:highlight w:val="none"/>
          <w:u w:val="none"/>
          <w:lang w:val="en-US" w:eastAsia="zh-CN"/>
        </w:rPr>
        <w:t>15</w:t>
      </w:r>
      <w:r>
        <w:rPr>
          <w:rFonts w:hint="eastAsia" w:ascii="宋体" w:hAnsi="宋体" w:eastAsia="宋体" w:cs="宋体"/>
          <w:color w:val="auto"/>
          <w:szCs w:val="21"/>
          <w:highlight w:val="none"/>
          <w:u w:val="none"/>
        </w:rPr>
        <w:t>日</w:t>
      </w:r>
      <w:r>
        <w:rPr>
          <w:rFonts w:hint="eastAsia" w:ascii="宋体" w:hAnsi="宋体" w:cs="宋体"/>
          <w:color w:val="auto"/>
          <w:szCs w:val="21"/>
          <w:highlight w:val="none"/>
          <w:u w:val="none"/>
          <w:lang w:val="en-US" w:eastAsia="zh-CN"/>
        </w:rPr>
        <w:t>14</w:t>
      </w:r>
      <w:r>
        <w:rPr>
          <w:rFonts w:hint="eastAsia" w:ascii="宋体" w:hAnsi="宋体" w:eastAsia="宋体" w:cs="宋体"/>
          <w:color w:val="auto"/>
          <w:szCs w:val="21"/>
          <w:highlight w:val="none"/>
          <w:u w:val="none"/>
        </w:rPr>
        <w:t>时</w:t>
      </w:r>
      <w:r>
        <w:rPr>
          <w:rFonts w:hint="eastAsia" w:ascii="宋体" w:hAnsi="宋体" w:cs="宋体"/>
          <w:color w:val="auto"/>
          <w:szCs w:val="21"/>
          <w:highlight w:val="none"/>
          <w:u w:val="none"/>
          <w:lang w:val="en-US" w:eastAsia="zh-CN"/>
        </w:rPr>
        <w:t>00</w:t>
      </w:r>
      <w:r>
        <w:rPr>
          <w:rFonts w:hint="eastAsia" w:ascii="宋体" w:hAnsi="宋体" w:eastAsia="宋体" w:cs="宋体"/>
          <w:color w:val="auto"/>
          <w:szCs w:val="21"/>
          <w:highlight w:val="none"/>
          <w:u w:val="none"/>
        </w:rPr>
        <w:t>分至202</w:t>
      </w:r>
      <w:r>
        <w:rPr>
          <w:rFonts w:hint="eastAsia" w:ascii="宋体" w:hAnsi="宋体" w:cs="宋体"/>
          <w:color w:val="auto"/>
          <w:szCs w:val="21"/>
          <w:highlight w:val="none"/>
          <w:u w:val="none"/>
          <w:lang w:val="en-US" w:eastAsia="zh-CN"/>
        </w:rPr>
        <w:t>3</w:t>
      </w:r>
      <w:r>
        <w:rPr>
          <w:rFonts w:hint="eastAsia" w:ascii="宋体" w:hAnsi="宋体" w:eastAsia="宋体" w:cs="宋体"/>
          <w:color w:val="auto"/>
          <w:szCs w:val="21"/>
          <w:highlight w:val="none"/>
          <w:u w:val="none"/>
        </w:rPr>
        <w:t>年</w:t>
      </w:r>
      <w:r>
        <w:rPr>
          <w:rFonts w:hint="eastAsia" w:ascii="宋体" w:hAnsi="宋体" w:cs="宋体"/>
          <w:color w:val="auto"/>
          <w:szCs w:val="21"/>
          <w:highlight w:val="none"/>
          <w:u w:val="none"/>
          <w:lang w:val="en-US" w:eastAsia="zh-CN"/>
        </w:rPr>
        <w:t>5</w:t>
      </w:r>
      <w:r>
        <w:rPr>
          <w:rFonts w:hint="eastAsia" w:ascii="宋体" w:hAnsi="宋体" w:eastAsia="宋体" w:cs="宋体"/>
          <w:color w:val="auto"/>
          <w:szCs w:val="21"/>
          <w:highlight w:val="none"/>
          <w:u w:val="none"/>
        </w:rPr>
        <w:t>月</w:t>
      </w:r>
      <w:r>
        <w:rPr>
          <w:rFonts w:hint="eastAsia" w:ascii="宋体" w:hAnsi="宋体" w:cs="宋体"/>
          <w:color w:val="auto"/>
          <w:szCs w:val="21"/>
          <w:highlight w:val="none"/>
          <w:u w:val="none"/>
          <w:lang w:val="en-US" w:eastAsia="zh-CN"/>
        </w:rPr>
        <w:t>17</w:t>
      </w:r>
      <w:r>
        <w:rPr>
          <w:rFonts w:hint="eastAsia" w:ascii="宋体" w:hAnsi="宋体" w:eastAsia="宋体" w:cs="宋体"/>
          <w:color w:val="auto"/>
          <w:szCs w:val="21"/>
          <w:highlight w:val="none"/>
          <w:u w:val="none"/>
        </w:rPr>
        <w:t>日</w:t>
      </w:r>
      <w:r>
        <w:rPr>
          <w:rFonts w:hint="eastAsia" w:ascii="宋体" w:hAnsi="宋体" w:cs="宋体"/>
          <w:color w:val="auto"/>
          <w:szCs w:val="21"/>
          <w:highlight w:val="none"/>
          <w:u w:val="none"/>
          <w:lang w:val="en-US" w:eastAsia="zh-CN"/>
        </w:rPr>
        <w:t>17</w:t>
      </w:r>
      <w:r>
        <w:rPr>
          <w:rFonts w:hint="eastAsia" w:ascii="宋体" w:hAnsi="宋体" w:eastAsia="宋体" w:cs="宋体"/>
          <w:color w:val="auto"/>
          <w:szCs w:val="21"/>
          <w:highlight w:val="none"/>
          <w:u w:val="none"/>
        </w:rPr>
        <w:t>时</w:t>
      </w:r>
      <w:r>
        <w:rPr>
          <w:rFonts w:hint="eastAsia" w:ascii="宋体" w:hAnsi="宋体" w:cs="宋体"/>
          <w:color w:val="auto"/>
          <w:szCs w:val="21"/>
          <w:highlight w:val="none"/>
          <w:u w:val="none"/>
          <w:lang w:val="en-US" w:eastAsia="zh-CN"/>
        </w:rPr>
        <w:t>00</w:t>
      </w:r>
      <w:r>
        <w:rPr>
          <w:rFonts w:hint="eastAsia" w:ascii="宋体" w:hAnsi="宋体" w:eastAsia="宋体" w:cs="宋体"/>
          <w:color w:val="auto"/>
          <w:szCs w:val="21"/>
          <w:highlight w:val="none"/>
          <w:u w:val="none"/>
        </w:rPr>
        <w:t>分</w:t>
      </w:r>
      <w:r>
        <w:rPr>
          <w:rFonts w:hint="eastAsia" w:ascii="宋体" w:hAnsi="宋体" w:eastAsia="宋体" w:cs="宋体"/>
          <w:color w:val="auto"/>
          <w:highlight w:val="none"/>
          <w:u w:val="none"/>
        </w:rPr>
        <w:t>（北京时间，下同）。</w:t>
      </w:r>
    </w:p>
    <w:p>
      <w:pPr>
        <w:numPr>
          <w:ilvl w:val="0"/>
          <w:numId w:val="0"/>
        </w:numPr>
        <w:spacing w:line="440" w:lineRule="exact"/>
        <w:ind w:firstLine="428" w:firstLineChars="200"/>
        <w:rPr>
          <w:rFonts w:ascii="宋体" w:hAnsi="宋体"/>
          <w:color w:val="auto"/>
          <w:szCs w:val="21"/>
          <w:highlight w:val="none"/>
        </w:rPr>
      </w:pPr>
      <w:r>
        <w:rPr>
          <w:rFonts w:hint="eastAsia" w:ascii="宋体" w:hAnsi="宋体"/>
          <w:color w:val="auto"/>
          <w:spacing w:val="2"/>
          <w:szCs w:val="21"/>
          <w:highlight w:val="none"/>
          <w:lang w:val="en-US" w:eastAsia="zh-CN"/>
        </w:rPr>
        <w:t>4.2</w:t>
      </w:r>
      <w:r>
        <w:rPr>
          <w:rFonts w:hint="eastAsia" w:ascii="宋体" w:hAnsi="宋体"/>
          <w:color w:val="auto"/>
          <w:spacing w:val="2"/>
          <w:szCs w:val="21"/>
          <w:highlight w:val="none"/>
        </w:rPr>
        <w:t>比选文件获取方式：</w:t>
      </w:r>
      <w:r>
        <w:rPr>
          <w:rFonts w:hint="eastAsia" w:ascii="宋体" w:hAnsi="宋体"/>
          <w:color w:val="auto"/>
          <w:szCs w:val="21"/>
          <w:highlight w:val="none"/>
        </w:rPr>
        <w:t>凡有意参与参选的潜在参选人，请按以下步骤顺序进行操作，获取比选文件：</w:t>
      </w:r>
    </w:p>
    <w:p>
      <w:pPr>
        <w:spacing w:line="440" w:lineRule="exact"/>
        <w:ind w:firstLine="420" w:firstLineChars="200"/>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4.2.1登录“【中国电信阳光采购网</w:t>
      </w:r>
    </w:p>
    <w:p>
      <w:pPr>
        <w:spacing w:line="440" w:lineRule="exact"/>
        <w:rPr>
          <w:rFonts w:ascii="宋体" w:hAnsi="宋体"/>
          <w:color w:val="auto"/>
          <w:szCs w:val="21"/>
          <w:highlight w:val="none"/>
        </w:rPr>
      </w:pPr>
      <w:r>
        <w:rPr>
          <w:rFonts w:hint="eastAsia" w:asciiTheme="minorEastAsia" w:hAnsiTheme="minorEastAsia" w:eastAsiaTheme="minorEastAsia"/>
          <w:color w:val="auto"/>
          <w:highlight w:val="none"/>
        </w:rPr>
        <w:t>（https://caigou.chinatelecom.com.cn/ctsc-portal/ctscPortal）】”后，通过“招投标-采购文件领取”模块或通过“电子采购入口”跳转中国电信电子采购系统，进入本项目进行比选文件登记申领，未在系统注册的参选人须先进行注册，注册方法详见本公告“7参选人注册”。</w:t>
      </w:r>
    </w:p>
    <w:p>
      <w:pPr>
        <w:spacing w:line="440" w:lineRule="exact"/>
        <w:ind w:firstLine="422" w:firstLineChars="200"/>
        <w:rPr>
          <w:rFonts w:ascii="宋体" w:hAnsi="宋体"/>
          <w:color w:val="auto"/>
          <w:szCs w:val="21"/>
          <w:highlight w:val="none"/>
        </w:rPr>
      </w:pPr>
      <w:r>
        <w:rPr>
          <w:rFonts w:hint="eastAsia" w:ascii="宋体" w:hAnsi="宋体" w:cs="宋体"/>
          <w:b/>
          <w:bCs/>
          <w:color w:val="auto"/>
          <w:kern w:val="0"/>
          <w:szCs w:val="21"/>
          <w:highlight w:val="none"/>
        </w:rPr>
        <w:t>注意：比选文件以“</w:t>
      </w:r>
      <w:r>
        <w:rPr>
          <w:rFonts w:hint="eastAsia"/>
          <w:color w:val="auto"/>
          <w:highlight w:val="none"/>
        </w:rPr>
        <w:t>中国电信电子采购系统</w:t>
      </w:r>
      <w:r>
        <w:rPr>
          <w:rFonts w:hint="eastAsia" w:ascii="宋体" w:hAnsi="宋体" w:cs="宋体"/>
          <w:b/>
          <w:bCs/>
          <w:color w:val="auto"/>
          <w:kern w:val="0"/>
          <w:szCs w:val="21"/>
          <w:highlight w:val="none"/>
        </w:rPr>
        <w:t>”登记申领下载的为准，如无法登记申领的，请及时与比选代理机构的项目联系人联系。</w:t>
      </w:r>
    </w:p>
    <w:p>
      <w:pPr>
        <w:numPr>
          <w:ilvl w:val="0"/>
          <w:numId w:val="0"/>
        </w:numPr>
        <w:spacing w:line="440" w:lineRule="exact"/>
        <w:ind w:left="426" w:leftChars="0"/>
        <w:rPr>
          <w:rFonts w:ascii="宋体" w:hAnsi="宋体"/>
          <w:color w:val="auto"/>
          <w:spacing w:val="2"/>
          <w:szCs w:val="21"/>
          <w:highlight w:val="none"/>
        </w:rPr>
      </w:pPr>
      <w:r>
        <w:rPr>
          <w:rFonts w:hint="eastAsia" w:ascii="宋体" w:hAnsi="宋体"/>
          <w:color w:val="auto"/>
          <w:spacing w:val="2"/>
          <w:szCs w:val="21"/>
          <w:highlight w:val="none"/>
          <w:lang w:val="en-US" w:eastAsia="zh-CN"/>
        </w:rPr>
        <w:t>4.3</w:t>
      </w:r>
      <w:r>
        <w:rPr>
          <w:rFonts w:hint="eastAsia" w:ascii="宋体" w:hAnsi="宋体"/>
          <w:color w:val="auto"/>
          <w:spacing w:val="2"/>
          <w:szCs w:val="21"/>
          <w:highlight w:val="none"/>
        </w:rPr>
        <w:t>比选文件每套售价</w:t>
      </w:r>
      <w:r>
        <w:rPr>
          <w:rFonts w:hint="eastAsia" w:ascii="宋体" w:hAnsi="宋体"/>
          <w:color w:val="auto"/>
          <w:highlight w:val="none"/>
          <w:u w:val="single"/>
        </w:rPr>
        <w:t>【</w:t>
      </w:r>
      <w:r>
        <w:rPr>
          <w:rFonts w:hint="eastAsia" w:ascii="宋体" w:hAnsi="宋体"/>
          <w:color w:val="auto"/>
          <w:highlight w:val="none"/>
          <w:u w:val="single"/>
          <w:lang w:val="en-US" w:eastAsia="zh-CN"/>
        </w:rPr>
        <w:t>300</w:t>
      </w:r>
      <w:r>
        <w:rPr>
          <w:rFonts w:hint="eastAsia" w:ascii="宋体" w:hAnsi="宋体"/>
          <w:color w:val="auto"/>
          <w:highlight w:val="none"/>
          <w:u w:val="single"/>
        </w:rPr>
        <w:t>】</w:t>
      </w:r>
      <w:r>
        <w:rPr>
          <w:rFonts w:hint="eastAsia" w:ascii="宋体" w:hAnsi="宋体"/>
          <w:color w:val="auto"/>
          <w:spacing w:val="2"/>
          <w:szCs w:val="21"/>
          <w:highlight w:val="none"/>
        </w:rPr>
        <w:t>元人民币，售后不退。</w:t>
      </w:r>
    </w:p>
    <w:p>
      <w:pPr>
        <w:spacing w:line="440" w:lineRule="exact"/>
        <w:ind w:firstLine="422" w:firstLineChars="200"/>
        <w:rPr>
          <w:rFonts w:ascii="宋体" w:hAnsi="宋体"/>
          <w:color w:val="auto"/>
          <w:spacing w:val="2"/>
          <w:szCs w:val="21"/>
          <w:highlight w:val="none"/>
        </w:rPr>
      </w:pPr>
      <w:r>
        <w:rPr>
          <w:rFonts w:hint="eastAsia"/>
          <w:b/>
          <w:bCs/>
          <w:color w:val="auto"/>
          <w:highlight w:val="none"/>
        </w:rPr>
        <w:t>支付要求：</w:t>
      </w:r>
      <w:r>
        <w:rPr>
          <w:rFonts w:hint="eastAsia" w:ascii="宋体" w:hAnsi="宋体" w:cs="宋体"/>
          <w:color w:val="auto"/>
          <w:szCs w:val="21"/>
          <w:highlight w:val="none"/>
        </w:rPr>
        <w:t>【进入电子采购系统，项目报名详情页面，点击支付</w:t>
      </w:r>
      <w:r>
        <w:rPr>
          <w:rFonts w:hint="eastAsia" w:ascii="宋体" w:hAnsi="宋体" w:cs="宋体"/>
          <w:color w:val="auto"/>
          <w:szCs w:val="21"/>
          <w:highlight w:val="yellow"/>
        </w:rPr>
        <w:t>（请务必选择线上支付）</w:t>
      </w:r>
      <w:r>
        <w:rPr>
          <w:rFonts w:hint="eastAsia" w:ascii="宋体" w:hAnsi="宋体" w:cs="宋体"/>
          <w:color w:val="auto"/>
          <w:szCs w:val="21"/>
          <w:highlight w:val="none"/>
        </w:rPr>
        <w:t>，会跳转到相应的线上支付页面。支付完成后，可进入阳光采购网“供应商信息服务菜单”下“查询统计”菜单下“我的付款”查看具体付款明细。支付成功后，即可进行</w:t>
      </w:r>
      <w:r>
        <w:rPr>
          <w:rFonts w:hint="eastAsia" w:ascii="宋体" w:hAnsi="宋体" w:cs="宋体"/>
          <w:color w:val="auto"/>
          <w:szCs w:val="21"/>
          <w:highlight w:val="none"/>
          <w:lang w:val="en-US" w:eastAsia="zh-CN"/>
        </w:rPr>
        <w:t>比选</w:t>
      </w:r>
      <w:r>
        <w:rPr>
          <w:rFonts w:hint="eastAsia" w:ascii="宋体" w:hAnsi="宋体" w:cs="宋体"/>
          <w:color w:val="auto"/>
          <w:szCs w:val="21"/>
          <w:highlight w:val="none"/>
        </w:rPr>
        <w:t>文件的登记申领】）</w:t>
      </w:r>
    </w:p>
    <w:p>
      <w:pPr>
        <w:adjustRightInd w:val="0"/>
        <w:snapToGrid w:val="0"/>
        <w:spacing w:line="440" w:lineRule="exact"/>
        <w:ind w:firstLine="422" w:firstLineChars="200"/>
        <w:rPr>
          <w:color w:val="auto"/>
          <w:highlight w:val="none"/>
        </w:rPr>
      </w:pPr>
      <w:r>
        <w:rPr>
          <w:rFonts w:hint="eastAsia" w:ascii="宋体" w:hAnsi="宋体" w:cs="宋体"/>
          <w:b/>
          <w:bCs/>
          <w:color w:val="auto"/>
          <w:szCs w:val="21"/>
          <w:highlight w:val="none"/>
        </w:rPr>
        <w:t>发票领取：</w:t>
      </w:r>
      <w:r>
        <w:rPr>
          <w:rFonts w:hint="eastAsia" w:ascii="宋体" w:hAnsi="宋体" w:cs="宋体"/>
          <w:color w:val="auto"/>
          <w:szCs w:val="21"/>
          <w:highlight w:val="none"/>
        </w:rPr>
        <w:t>进入</w:t>
      </w:r>
      <w:r>
        <w:rPr>
          <w:rFonts w:hint="eastAsia" w:ascii="宋体" w:hAnsi="宋体" w:cs="宋体"/>
          <w:color w:val="auto"/>
          <w:szCs w:val="21"/>
          <w:highlight w:val="none"/>
          <w:lang w:val="en-US" w:eastAsia="zh-CN"/>
        </w:rPr>
        <w:t>比选</w:t>
      </w:r>
      <w:r>
        <w:rPr>
          <w:rFonts w:hint="eastAsia" w:ascii="宋体" w:hAnsi="宋体" w:cs="宋体"/>
          <w:color w:val="auto"/>
          <w:szCs w:val="21"/>
          <w:highlight w:val="none"/>
        </w:rPr>
        <w:t>代理机构电子招投标平台（https://zb.chinaccsscm.cn/）根据提示完成注册，登录提交审核并通过后，点击左侧“财务管理-供应商发票维护”查看并下载发票。 （</w:t>
      </w:r>
      <w:r>
        <w:rPr>
          <w:rFonts w:hint="eastAsia" w:ascii="宋体" w:hAnsi="宋体" w:cs="宋体"/>
          <w:color w:val="auto"/>
          <w:szCs w:val="21"/>
          <w:highlight w:val="none"/>
          <w:lang w:val="en-US" w:eastAsia="zh-CN"/>
        </w:rPr>
        <w:t>比选</w:t>
      </w:r>
      <w:r>
        <w:rPr>
          <w:rFonts w:hint="eastAsia" w:ascii="宋体" w:hAnsi="宋体" w:cs="宋体"/>
          <w:color w:val="auto"/>
          <w:szCs w:val="21"/>
          <w:highlight w:val="none"/>
        </w:rPr>
        <w:t>代理机构电子招投标平台注册审核联系商务专员，电话：18060753032）。</w:t>
      </w:r>
    </w:p>
    <w:p>
      <w:pPr>
        <w:numPr>
          <w:ilvl w:val="0"/>
          <w:numId w:val="0"/>
        </w:numPr>
        <w:spacing w:line="440" w:lineRule="exact"/>
        <w:ind w:left="426" w:leftChars="0"/>
        <w:rPr>
          <w:rFonts w:ascii="宋体" w:hAnsi="宋体"/>
          <w:color w:val="auto"/>
          <w:spacing w:val="2"/>
          <w:szCs w:val="21"/>
          <w:highlight w:val="none"/>
        </w:rPr>
      </w:pPr>
      <w:r>
        <w:rPr>
          <w:rFonts w:hint="eastAsia" w:ascii="宋体" w:hAnsi="宋体"/>
          <w:color w:val="auto"/>
          <w:szCs w:val="21"/>
          <w:highlight w:val="none"/>
          <w:lang w:val="en-US" w:eastAsia="zh-CN"/>
        </w:rPr>
        <w:t>4.4</w:t>
      </w:r>
      <w:r>
        <w:rPr>
          <w:rFonts w:hint="eastAsia" w:ascii="宋体" w:hAnsi="宋体"/>
          <w:color w:val="auto"/>
          <w:szCs w:val="21"/>
          <w:highlight w:val="none"/>
        </w:rPr>
        <w:t>潜在参选人应在“</w:t>
      </w:r>
      <w:r>
        <w:rPr>
          <w:rFonts w:hint="eastAsia"/>
          <w:color w:val="auto"/>
          <w:highlight w:val="none"/>
        </w:rPr>
        <w:t>中国电信电子采购系统</w:t>
      </w:r>
      <w:r>
        <w:rPr>
          <w:rFonts w:hint="eastAsia" w:ascii="宋体" w:hAnsi="宋体"/>
          <w:color w:val="auto"/>
          <w:szCs w:val="21"/>
          <w:highlight w:val="none"/>
        </w:rPr>
        <w:t>”中获取电子比选文件。</w:t>
      </w:r>
    </w:p>
    <w:p>
      <w:pPr>
        <w:pStyle w:val="9"/>
        <w:numPr>
          <w:ilvl w:val="0"/>
          <w:numId w:val="0"/>
        </w:numPr>
        <w:adjustRightInd w:val="0"/>
        <w:snapToGrid w:val="0"/>
        <w:spacing w:line="440" w:lineRule="exact"/>
        <w:ind w:leftChars="0"/>
        <w:rPr>
          <w:rFonts w:ascii="宋体" w:hAnsi="宋体"/>
          <w:b/>
          <w:color w:val="auto"/>
          <w:szCs w:val="21"/>
          <w:highlight w:val="none"/>
        </w:rPr>
      </w:pPr>
      <w:r>
        <w:rPr>
          <w:rFonts w:hint="eastAsia" w:ascii="宋体" w:hAnsi="宋体"/>
          <w:b/>
          <w:color w:val="auto"/>
          <w:szCs w:val="21"/>
          <w:highlight w:val="none"/>
          <w:lang w:val="en-US" w:eastAsia="zh-CN"/>
        </w:rPr>
        <w:t>5.</w:t>
      </w:r>
      <w:r>
        <w:rPr>
          <w:rFonts w:hint="eastAsia" w:ascii="宋体" w:hAnsi="宋体"/>
          <w:b/>
          <w:color w:val="auto"/>
          <w:szCs w:val="21"/>
          <w:highlight w:val="none"/>
        </w:rPr>
        <w:t>参选文件的递交</w:t>
      </w:r>
    </w:p>
    <w:p>
      <w:pPr>
        <w:pStyle w:val="9"/>
        <w:numPr>
          <w:ilvl w:val="0"/>
          <w:numId w:val="0"/>
        </w:numPr>
        <w:wordWrap w:val="0"/>
        <w:adjustRightInd w:val="0"/>
        <w:snapToGrid w:val="0"/>
        <w:spacing w:line="440" w:lineRule="exact"/>
        <w:ind w:firstLine="420" w:firstLineChars="200"/>
        <w:rPr>
          <w:rFonts w:asciiTheme="minorEastAsia" w:hAnsiTheme="minorEastAsia" w:eastAsiaTheme="minorEastAsia"/>
          <w:color w:val="auto"/>
          <w:szCs w:val="21"/>
          <w:highlight w:val="none"/>
        </w:rPr>
      </w:pPr>
      <w:r>
        <w:rPr>
          <w:rFonts w:hint="eastAsia" w:ascii="宋体" w:hAnsi="宋体"/>
          <w:color w:val="auto"/>
          <w:szCs w:val="21"/>
          <w:highlight w:val="none"/>
          <w:lang w:val="en-US" w:eastAsia="zh-CN"/>
        </w:rPr>
        <w:t>5.1</w:t>
      </w:r>
      <w:r>
        <w:rPr>
          <w:rFonts w:hint="eastAsia" w:ascii="宋体" w:hAnsi="宋体"/>
          <w:color w:val="auto"/>
          <w:szCs w:val="21"/>
          <w:highlight w:val="none"/>
        </w:rPr>
        <w:t>参选文件</w:t>
      </w:r>
      <w:r>
        <w:rPr>
          <w:rFonts w:hint="eastAsia" w:ascii="宋体" w:hAnsi="宋体"/>
          <w:color w:val="auto"/>
          <w:highlight w:val="none"/>
        </w:rPr>
        <w:t>递交截止时间</w:t>
      </w:r>
      <w:r>
        <w:rPr>
          <w:rFonts w:hint="eastAsia" w:ascii="宋体" w:hAnsi="宋体"/>
          <w:color w:val="auto"/>
          <w:szCs w:val="21"/>
          <w:highlight w:val="none"/>
        </w:rPr>
        <w:t>（即参选截止时间）：</w:t>
      </w:r>
      <w:r>
        <w:rPr>
          <w:rFonts w:hint="eastAsia" w:ascii="宋体" w:hAnsi="宋体" w:eastAsia="宋体" w:cs="宋体"/>
          <w:color w:val="auto"/>
          <w:szCs w:val="21"/>
          <w:highlight w:val="none"/>
          <w:u w:val="none"/>
        </w:rPr>
        <w:t>202</w:t>
      </w:r>
      <w:r>
        <w:rPr>
          <w:rFonts w:hint="eastAsia" w:ascii="宋体" w:hAnsi="宋体" w:cs="宋体"/>
          <w:color w:val="auto"/>
          <w:szCs w:val="21"/>
          <w:highlight w:val="none"/>
          <w:u w:val="none"/>
          <w:lang w:val="en-US" w:eastAsia="zh-CN"/>
        </w:rPr>
        <w:t>3</w:t>
      </w:r>
      <w:r>
        <w:rPr>
          <w:rFonts w:hint="eastAsia" w:ascii="宋体" w:hAnsi="宋体" w:eastAsia="宋体" w:cs="宋体"/>
          <w:color w:val="auto"/>
          <w:szCs w:val="21"/>
          <w:highlight w:val="none"/>
          <w:u w:val="none"/>
        </w:rPr>
        <w:t>年</w:t>
      </w:r>
      <w:r>
        <w:rPr>
          <w:rFonts w:hint="eastAsia" w:ascii="宋体" w:hAnsi="宋体" w:cs="宋体"/>
          <w:color w:val="auto"/>
          <w:szCs w:val="21"/>
          <w:highlight w:val="none"/>
          <w:u w:val="none"/>
          <w:lang w:val="en-US" w:eastAsia="zh-CN"/>
        </w:rPr>
        <w:t>5</w:t>
      </w:r>
      <w:r>
        <w:rPr>
          <w:rFonts w:hint="eastAsia" w:ascii="宋体" w:hAnsi="宋体" w:eastAsia="宋体" w:cs="宋体"/>
          <w:color w:val="auto"/>
          <w:szCs w:val="21"/>
          <w:highlight w:val="none"/>
          <w:u w:val="none"/>
        </w:rPr>
        <w:t>月</w:t>
      </w:r>
      <w:r>
        <w:rPr>
          <w:rFonts w:hint="eastAsia" w:ascii="宋体" w:hAnsi="宋体" w:cs="宋体"/>
          <w:color w:val="auto"/>
          <w:szCs w:val="21"/>
          <w:highlight w:val="none"/>
          <w:u w:val="none"/>
          <w:lang w:val="en-US" w:eastAsia="zh-CN"/>
        </w:rPr>
        <w:t>23</w:t>
      </w:r>
      <w:r>
        <w:rPr>
          <w:rFonts w:hint="eastAsia" w:ascii="宋体" w:hAnsi="宋体" w:eastAsia="宋体" w:cs="宋体"/>
          <w:color w:val="auto"/>
          <w:szCs w:val="21"/>
          <w:highlight w:val="none"/>
          <w:u w:val="none"/>
        </w:rPr>
        <w:t>日</w:t>
      </w: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rPr>
        <w:t>时</w:t>
      </w:r>
      <w:r>
        <w:rPr>
          <w:rFonts w:hint="eastAsia" w:ascii="宋体" w:hAnsi="宋体" w:cs="宋体"/>
          <w:color w:val="auto"/>
          <w:szCs w:val="21"/>
          <w:highlight w:val="none"/>
          <w:lang w:val="en-US" w:eastAsia="zh-CN"/>
        </w:rPr>
        <w:t>00</w:t>
      </w:r>
      <w:r>
        <w:rPr>
          <w:rFonts w:hint="eastAsia" w:ascii="宋体" w:hAnsi="宋体" w:eastAsia="宋体" w:cs="宋体"/>
          <w:color w:val="auto"/>
          <w:szCs w:val="21"/>
          <w:highlight w:val="none"/>
        </w:rPr>
        <w:t>分</w:t>
      </w:r>
      <w:r>
        <w:rPr>
          <w:rFonts w:hint="eastAsia" w:ascii="宋体" w:hAnsi="宋体"/>
          <w:color w:val="auto"/>
          <w:szCs w:val="21"/>
          <w:highlight w:val="none"/>
        </w:rPr>
        <w:t>。</w:t>
      </w:r>
    </w:p>
    <w:p>
      <w:pPr>
        <w:pStyle w:val="9"/>
        <w:numPr>
          <w:ilvl w:val="0"/>
          <w:numId w:val="0"/>
        </w:numPr>
        <w:adjustRightInd w:val="0"/>
        <w:snapToGrid w:val="0"/>
        <w:spacing w:line="44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5.2电子参选文件的递交：【登录【中国电信阳光采购网（（https://caigou.chinatelecom.com.cn/ctsc-portal/ctscPortal）】后，通过“招投标-我的项目”模块或通过“电子采购入口”跳转中国电信电子采购系统，选择本项目进行参选文件递交，参选人应在参选文件递交截止时间之前通过电子采购系统完成加密电子参选文件的上传。参选人未在电子采购系统进行比选文件申领登记或电子参选文件未按照要求加密的，将无法通过电子采购系统提交电子参选文件。</w:t>
      </w:r>
    </w:p>
    <w:p>
      <w:pPr>
        <w:pStyle w:val="9"/>
        <w:numPr>
          <w:ilvl w:val="0"/>
          <w:numId w:val="0"/>
        </w:numPr>
        <w:adjustRightInd w:val="0"/>
        <w:snapToGrid w:val="0"/>
        <w:spacing w:line="440" w:lineRule="exact"/>
        <w:ind w:firstLine="420" w:firstLineChars="200"/>
        <w:rPr>
          <w:rFonts w:ascii="宋体" w:hAnsi="宋体"/>
          <w:color w:val="auto"/>
          <w:szCs w:val="21"/>
          <w:highlight w:val="none"/>
        </w:rPr>
      </w:pPr>
      <w:r>
        <w:rPr>
          <w:rFonts w:hint="eastAsia" w:asciiTheme="minorEastAsia" w:hAnsiTheme="minorEastAsia" w:eastAsiaTheme="minorEastAsia"/>
          <w:color w:val="auto"/>
          <w:szCs w:val="21"/>
          <w:highlight w:val="none"/>
          <w:lang w:val="en-US" w:eastAsia="zh-CN"/>
        </w:rPr>
        <w:t>5.3</w:t>
      </w:r>
      <w:r>
        <w:rPr>
          <w:rFonts w:hint="eastAsia" w:asciiTheme="minorEastAsia" w:hAnsiTheme="minorEastAsia" w:eastAsiaTheme="minorEastAsia"/>
          <w:color w:val="auto"/>
          <w:szCs w:val="21"/>
          <w:highlight w:val="none"/>
        </w:rPr>
        <w:t>本项目将于参选文件递交截止同一时间通过中国电信电子采购系统唱价，</w:t>
      </w:r>
      <w:r>
        <w:rPr>
          <w:rFonts w:hint="eastAsia" w:asciiTheme="minorEastAsia" w:hAnsiTheme="minorEastAsia" w:eastAsiaTheme="minorEastAsia"/>
          <w:color w:val="auto"/>
          <w:highlight w:val="none"/>
        </w:rPr>
        <w:t>【</w:t>
      </w:r>
      <w:r>
        <w:rPr>
          <w:rFonts w:hint="eastAsia" w:asciiTheme="minorEastAsia" w:hAnsiTheme="minorEastAsia" w:eastAsiaTheme="minorEastAsia"/>
          <w:color w:val="auto"/>
          <w:spacing w:val="2"/>
          <w:szCs w:val="21"/>
          <w:highlight w:val="none"/>
        </w:rPr>
        <w:t>比选人/比选代理机构</w:t>
      </w:r>
      <w:r>
        <w:rPr>
          <w:rFonts w:hint="eastAsia" w:asciiTheme="minorEastAsia" w:hAnsiTheme="minorEastAsia" w:eastAsiaTheme="minorEastAsia"/>
          <w:color w:val="auto"/>
          <w:highlight w:val="none"/>
        </w:rPr>
        <w:t>】</w:t>
      </w:r>
      <w:r>
        <w:rPr>
          <w:rFonts w:hint="eastAsia" w:asciiTheme="minorEastAsia" w:hAnsiTheme="minorEastAsia" w:eastAsiaTheme="minorEastAsia"/>
          <w:color w:val="auto"/>
          <w:szCs w:val="21"/>
          <w:highlight w:val="none"/>
        </w:rPr>
        <w:t>邀请参选人的法定代表人或者其委托代理人准时参加</w:t>
      </w:r>
      <w:r>
        <w:rPr>
          <w:rFonts w:hint="eastAsia" w:ascii="宋体" w:hAnsi="宋体"/>
          <w:color w:val="auto"/>
          <w:szCs w:val="21"/>
          <w:highlight w:val="none"/>
        </w:rPr>
        <w:t>。</w:t>
      </w:r>
    </w:p>
    <w:p>
      <w:pPr>
        <w:pStyle w:val="9"/>
        <w:numPr>
          <w:ilvl w:val="0"/>
          <w:numId w:val="0"/>
        </w:numPr>
        <w:adjustRightInd w:val="0"/>
        <w:snapToGrid w:val="0"/>
        <w:spacing w:line="440" w:lineRule="exact"/>
        <w:ind w:leftChars="0"/>
        <w:rPr>
          <w:rFonts w:ascii="宋体" w:hAnsi="宋体"/>
          <w:b/>
          <w:color w:val="auto"/>
          <w:szCs w:val="21"/>
          <w:highlight w:val="none"/>
        </w:rPr>
      </w:pPr>
      <w:r>
        <w:rPr>
          <w:rFonts w:hint="eastAsia" w:ascii="宋体" w:hAnsi="宋体"/>
          <w:b/>
          <w:color w:val="auto"/>
          <w:szCs w:val="21"/>
          <w:highlight w:val="none"/>
          <w:lang w:val="en-US" w:eastAsia="zh-CN"/>
        </w:rPr>
        <w:t>6.</w:t>
      </w:r>
      <w:r>
        <w:rPr>
          <w:rFonts w:hint="eastAsia" w:ascii="宋体" w:hAnsi="宋体"/>
          <w:b/>
          <w:color w:val="auto"/>
          <w:szCs w:val="21"/>
          <w:highlight w:val="none"/>
        </w:rPr>
        <w:t>样品的递交</w:t>
      </w:r>
    </w:p>
    <w:p>
      <w:pPr>
        <w:pStyle w:val="9"/>
        <w:pageBreakBefore w:val="0"/>
        <w:kinsoku/>
        <w:overflowPunct/>
        <w:bidi w:val="0"/>
        <w:adjustRightInd w:val="0"/>
        <w:snapToGrid w:val="0"/>
        <w:spacing w:line="360" w:lineRule="auto"/>
        <w:ind w:firstLine="424" w:firstLineChars="202"/>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6.1样品递交的时间、地点：不适用</w:t>
      </w:r>
    </w:p>
    <w:p>
      <w:pPr>
        <w:pStyle w:val="9"/>
        <w:pageBreakBefore w:val="0"/>
        <w:kinsoku/>
        <w:overflowPunct/>
        <w:bidi w:val="0"/>
        <w:adjustRightInd w:val="0"/>
        <w:snapToGrid w:val="0"/>
        <w:spacing w:line="360" w:lineRule="auto"/>
        <w:ind w:firstLine="424" w:firstLineChars="202"/>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6.2检测相关费用：不适用</w:t>
      </w:r>
    </w:p>
    <w:p>
      <w:pPr>
        <w:pStyle w:val="9"/>
        <w:numPr>
          <w:ilvl w:val="0"/>
          <w:numId w:val="0"/>
        </w:numPr>
        <w:adjustRightInd w:val="0"/>
        <w:snapToGrid w:val="0"/>
        <w:spacing w:line="440" w:lineRule="exact"/>
        <w:ind w:leftChars="0"/>
        <w:rPr>
          <w:rFonts w:ascii="宋体" w:hAnsi="宋体"/>
          <w:b/>
          <w:color w:val="auto"/>
          <w:szCs w:val="21"/>
          <w:highlight w:val="none"/>
        </w:rPr>
      </w:pPr>
      <w:r>
        <w:rPr>
          <w:rFonts w:hint="eastAsia" w:ascii="宋体" w:hAnsi="宋体"/>
          <w:b/>
          <w:color w:val="auto"/>
          <w:szCs w:val="21"/>
          <w:highlight w:val="none"/>
          <w:lang w:val="en-US" w:eastAsia="zh-CN"/>
        </w:rPr>
        <w:t>7.</w:t>
      </w:r>
      <w:r>
        <w:rPr>
          <w:rFonts w:hint="eastAsia" w:ascii="宋体" w:hAnsi="宋体"/>
          <w:b/>
          <w:color w:val="auto"/>
          <w:szCs w:val="21"/>
          <w:highlight w:val="none"/>
        </w:rPr>
        <w:t>参选人注册</w:t>
      </w:r>
    </w:p>
    <w:p>
      <w:pPr>
        <w:pStyle w:val="9"/>
        <w:numPr>
          <w:ilvl w:val="0"/>
          <w:numId w:val="0"/>
        </w:numPr>
        <w:adjustRightInd w:val="0"/>
        <w:snapToGrid w:val="0"/>
        <w:spacing w:line="440" w:lineRule="exact"/>
        <w:ind w:left="425" w:leftChars="0"/>
        <w:rPr>
          <w:rFonts w:ascii="宋体" w:hAnsi="宋体"/>
          <w:color w:val="auto"/>
          <w:szCs w:val="21"/>
          <w:highlight w:val="none"/>
        </w:rPr>
      </w:pPr>
      <w:r>
        <w:rPr>
          <w:rFonts w:hint="eastAsia" w:asciiTheme="minorEastAsia" w:hAnsiTheme="minorEastAsia" w:eastAsiaTheme="minorEastAsia"/>
          <w:color w:val="auto"/>
          <w:highlight w:val="none"/>
          <w:lang w:val="en-US" w:eastAsia="zh-CN"/>
        </w:rPr>
        <w:t>7.1</w:t>
      </w:r>
      <w:r>
        <w:rPr>
          <w:rFonts w:hint="eastAsia" w:asciiTheme="minorEastAsia" w:hAnsiTheme="minorEastAsia" w:eastAsiaTheme="minorEastAsia"/>
          <w:color w:val="auto"/>
          <w:highlight w:val="none"/>
        </w:rPr>
        <w:t>【</w:t>
      </w:r>
      <w:r>
        <w:rPr>
          <w:color w:val="auto"/>
          <w:highlight w:val="none"/>
        </w:rPr>
        <w:t>中国电信阳光采购网</w:t>
      </w:r>
      <w:r>
        <w:rPr>
          <w:rFonts w:hint="eastAsia" w:asciiTheme="minorEastAsia" w:hAnsiTheme="minorEastAsia" w:eastAsiaTheme="minorEastAsia"/>
          <w:color w:val="auto"/>
          <w:highlight w:val="none"/>
        </w:rPr>
        <w:t>】注册</w:t>
      </w:r>
      <w:r>
        <w:rPr>
          <w:rFonts w:hint="eastAsia" w:ascii="宋体" w:hAnsi="宋体"/>
          <w:color w:val="auto"/>
          <w:szCs w:val="21"/>
          <w:highlight w:val="none"/>
        </w:rPr>
        <w:t>。</w:t>
      </w:r>
    </w:p>
    <w:p>
      <w:pPr>
        <w:adjustRightInd w:val="0"/>
        <w:snapToGrid w:val="0"/>
        <w:spacing w:line="440" w:lineRule="exact"/>
        <w:ind w:firstLine="420" w:firstLineChars="200"/>
        <w:rPr>
          <w:rFonts w:ascii="宋体" w:hAnsi="宋体"/>
          <w:color w:val="auto"/>
          <w:szCs w:val="21"/>
          <w:highlight w:val="none"/>
        </w:rPr>
      </w:pPr>
      <w:r>
        <w:rPr>
          <w:rFonts w:hint="eastAsia" w:asciiTheme="minorEastAsia" w:hAnsiTheme="minorEastAsia" w:eastAsiaTheme="minorEastAsia"/>
          <w:color w:val="auto"/>
          <w:highlight w:val="none"/>
        </w:rPr>
        <w:t>未注册过的潜在参选人，</w:t>
      </w:r>
      <w:r>
        <w:rPr>
          <w:rFonts w:hint="eastAsia" w:ascii="宋体" w:hAnsi="宋体"/>
          <w:color w:val="auto"/>
          <w:highlight w:val="none"/>
        </w:rPr>
        <w:t>须</w:t>
      </w:r>
      <w:r>
        <w:rPr>
          <w:rFonts w:hint="eastAsia" w:asciiTheme="minorEastAsia" w:hAnsiTheme="minorEastAsia" w:eastAsiaTheme="minorEastAsia"/>
          <w:color w:val="auto"/>
          <w:highlight w:val="none"/>
        </w:rPr>
        <w:t>通过【</w:t>
      </w:r>
      <w:r>
        <w:rPr>
          <w:color w:val="auto"/>
          <w:highlight w:val="none"/>
        </w:rPr>
        <w:t>中国电信阳光采购网</w:t>
      </w:r>
      <w:r>
        <w:rPr>
          <w:rFonts w:hint="eastAsia"/>
          <w:color w:val="auto"/>
          <w:highlight w:val="none"/>
        </w:rPr>
        <w:t>（</w:t>
      </w:r>
      <w:r>
        <w:rPr>
          <w:rFonts w:asciiTheme="minorEastAsia" w:hAnsiTheme="minorEastAsia" w:eastAsiaTheme="minorEastAsia"/>
          <w:color w:val="auto"/>
          <w:highlight w:val="none"/>
        </w:rPr>
        <w:t>https://caigou.chinatelecom.com.cn/ctsc-portal/ctscPortal</w:t>
      </w:r>
      <w:r>
        <w:rPr>
          <w:rFonts w:hint="eastAsia"/>
          <w:color w:val="auto"/>
          <w:highlight w:val="none"/>
        </w:rPr>
        <w:t>）</w:t>
      </w:r>
      <w:r>
        <w:rPr>
          <w:rFonts w:hint="eastAsia" w:asciiTheme="minorEastAsia" w:hAnsiTheme="minorEastAsia" w:eastAsiaTheme="minorEastAsia"/>
          <w:color w:val="auto"/>
          <w:highlight w:val="none"/>
        </w:rPr>
        <w:t>】</w:t>
      </w:r>
      <w:r>
        <w:rPr>
          <w:rFonts w:hint="eastAsia" w:ascii="宋体" w:hAnsi="宋体"/>
          <w:color w:val="auto"/>
          <w:highlight w:val="none"/>
        </w:rPr>
        <w:t>首页“立即注册”模块</w:t>
      </w:r>
      <w:r>
        <w:rPr>
          <w:rFonts w:hint="eastAsia" w:asciiTheme="minorEastAsia" w:hAnsiTheme="minorEastAsia" w:eastAsiaTheme="minorEastAsia"/>
          <w:color w:val="auto"/>
          <w:highlight w:val="none"/>
        </w:rPr>
        <w:t>完成注册后，方可申领本项目比选文件。</w:t>
      </w:r>
    </w:p>
    <w:p>
      <w:pPr>
        <w:tabs>
          <w:tab w:val="left" w:pos="993"/>
        </w:tabs>
        <w:wordWrap w:val="0"/>
        <w:adjustRightInd w:val="0"/>
        <w:snapToGrid w:val="0"/>
        <w:spacing w:line="440" w:lineRule="exact"/>
        <w:ind w:firstLine="424" w:firstLineChars="202"/>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7.2 CA证书办理</w:t>
      </w:r>
    </w:p>
    <w:p>
      <w:pPr>
        <w:pStyle w:val="9"/>
        <w:wordWrap w:val="0"/>
        <w:adjustRightInd w:val="0"/>
        <w:snapToGrid w:val="0"/>
        <w:spacing w:line="440" w:lineRule="exact"/>
        <w:ind w:firstLine="424" w:firstLineChars="202"/>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参与电子采购的潜在参选人须提前办理CA证书进行电子参选文件编制和参选，并确保CA证书在使用时有效。CA证书须同时升级采购订单电子签章功能，并加入【公章】或【合同专用章】的样章。【CA证书办理流程详见【中国电信阳光采购网】“操作指引-CA办理”。】</w:t>
      </w:r>
    </w:p>
    <w:p>
      <w:pPr>
        <w:pStyle w:val="9"/>
        <w:tabs>
          <w:tab w:val="left" w:pos="993"/>
        </w:tabs>
        <w:wordWrap w:val="0"/>
        <w:adjustRightInd w:val="0"/>
        <w:snapToGrid w:val="0"/>
        <w:spacing w:line="440" w:lineRule="exact"/>
        <w:ind w:left="426" w:firstLine="0" w:firstLineChars="0"/>
        <w:rPr>
          <w:rFonts w:asciiTheme="minorEastAsia" w:hAnsiTheme="minorEastAsia" w:eastAsiaTheme="minorEastAsia"/>
          <w:color w:val="auto"/>
          <w:spacing w:val="2"/>
          <w:szCs w:val="21"/>
          <w:highlight w:val="none"/>
        </w:rPr>
      </w:pPr>
      <w:r>
        <w:rPr>
          <w:rFonts w:hint="eastAsia" w:cs="宋体" w:asciiTheme="minorEastAsia" w:hAnsiTheme="minorEastAsia" w:eastAsiaTheme="minorEastAsia"/>
          <w:color w:val="auto"/>
          <w:kern w:val="0"/>
          <w:szCs w:val="21"/>
          <w:highlight w:val="none"/>
        </w:rPr>
        <w:t>7.3</w:t>
      </w:r>
      <w:r>
        <w:rPr>
          <w:rFonts w:cs="宋体" w:asciiTheme="minorEastAsia" w:hAnsiTheme="minorEastAsia" w:eastAsiaTheme="minorEastAsia"/>
          <w:color w:val="auto"/>
          <w:kern w:val="0"/>
          <w:szCs w:val="21"/>
          <w:highlight w:val="none"/>
        </w:rPr>
        <w:t>技术支撑联系方式</w:t>
      </w:r>
    </w:p>
    <w:p>
      <w:pPr>
        <w:pStyle w:val="9"/>
        <w:adjustRightInd w:val="0"/>
        <w:snapToGrid w:val="0"/>
        <w:spacing w:line="440" w:lineRule="exact"/>
        <w:ind w:left="2"/>
        <w:rPr>
          <w:rFonts w:asciiTheme="minorEastAsia" w:hAnsiTheme="minorEastAsia" w:eastAsiaTheme="minorEastAsia"/>
          <w:color w:val="auto"/>
          <w:spacing w:val="2"/>
          <w:szCs w:val="21"/>
          <w:highlight w:val="none"/>
        </w:rPr>
      </w:pPr>
      <w:r>
        <w:rPr>
          <w:rFonts w:hint="eastAsia" w:cs="宋体" w:asciiTheme="minorEastAsia" w:hAnsiTheme="minorEastAsia" w:eastAsiaTheme="minorEastAsia"/>
          <w:color w:val="auto"/>
          <w:kern w:val="0"/>
          <w:szCs w:val="21"/>
          <w:highlight w:val="none"/>
        </w:rPr>
        <w:t>电子采购系统</w:t>
      </w:r>
      <w:r>
        <w:rPr>
          <w:rFonts w:cs="宋体" w:asciiTheme="minorEastAsia" w:hAnsiTheme="minorEastAsia" w:eastAsiaTheme="minorEastAsia"/>
          <w:color w:val="auto"/>
          <w:kern w:val="0"/>
          <w:szCs w:val="21"/>
          <w:highlight w:val="none"/>
        </w:rPr>
        <w:t>技术支撑：</w:t>
      </w:r>
      <w:r>
        <w:rPr>
          <w:rFonts w:hint="eastAsia" w:cs="宋体" w:asciiTheme="minorEastAsia" w:hAnsiTheme="minorEastAsia" w:eastAsiaTheme="minorEastAsia"/>
          <w:color w:val="auto"/>
          <w:kern w:val="0"/>
          <w:szCs w:val="21"/>
          <w:highlight w:val="none"/>
        </w:rPr>
        <w:t>【服务热线</w:t>
      </w:r>
      <w:r>
        <w:rPr>
          <w:rFonts w:cs="宋体" w:asciiTheme="minorEastAsia" w:hAnsiTheme="minorEastAsia" w:eastAsiaTheme="minorEastAsia"/>
          <w:color w:val="auto"/>
          <w:kern w:val="0"/>
          <w:szCs w:val="21"/>
          <w:highlight w:val="none"/>
        </w:rPr>
        <w:t>4008227188，</w:t>
      </w:r>
      <w:r>
        <w:rPr>
          <w:rFonts w:hint="eastAsia" w:cs="宋体" w:asciiTheme="minorEastAsia" w:hAnsiTheme="minorEastAsia" w:eastAsiaTheme="minorEastAsia"/>
          <w:color w:val="auto"/>
          <w:kern w:val="0"/>
          <w:szCs w:val="21"/>
          <w:highlight w:val="none"/>
        </w:rPr>
        <w:t>服务邮箱</w:t>
      </w:r>
      <w:r>
        <w:rPr>
          <w:rFonts w:cs="宋体" w:asciiTheme="minorEastAsia" w:hAnsiTheme="minorEastAsia" w:eastAsiaTheme="minorEastAsia"/>
          <w:color w:val="auto"/>
          <w:kern w:val="0"/>
          <w:szCs w:val="21"/>
          <w:highlight w:val="none"/>
        </w:rPr>
        <w:t>zb_support@chinatelecom.cn</w:t>
      </w:r>
      <w:r>
        <w:rPr>
          <w:rFonts w:hint="eastAsia" w:cs="宋体" w:asciiTheme="minorEastAsia" w:hAnsiTheme="minorEastAsia" w:eastAsiaTheme="minorEastAsia"/>
          <w:color w:val="auto"/>
          <w:kern w:val="0"/>
          <w:szCs w:val="21"/>
          <w:highlight w:val="none"/>
        </w:rPr>
        <w:t>】</w:t>
      </w:r>
      <w:r>
        <w:rPr>
          <w:rFonts w:cs="宋体" w:asciiTheme="minorEastAsia" w:hAnsiTheme="minorEastAsia" w:eastAsiaTheme="minorEastAsia"/>
          <w:color w:val="auto"/>
          <w:kern w:val="0"/>
          <w:szCs w:val="21"/>
          <w:highlight w:val="none"/>
        </w:rPr>
        <w:t>。</w:t>
      </w:r>
    </w:p>
    <w:p>
      <w:pPr>
        <w:pStyle w:val="9"/>
        <w:adjustRightInd w:val="0"/>
        <w:snapToGrid w:val="0"/>
        <w:spacing w:line="440" w:lineRule="exact"/>
        <w:rPr>
          <w:rFonts w:ascii="宋体" w:hAnsi="宋体"/>
          <w:color w:val="auto"/>
          <w:szCs w:val="21"/>
          <w:highlight w:val="none"/>
        </w:rPr>
      </w:pPr>
      <w:r>
        <w:rPr>
          <w:rFonts w:cs="宋体" w:asciiTheme="minorEastAsia" w:hAnsiTheme="minorEastAsia" w:eastAsiaTheme="minorEastAsia"/>
          <w:color w:val="auto"/>
          <w:kern w:val="0"/>
          <w:szCs w:val="21"/>
          <w:highlight w:val="none"/>
        </w:rPr>
        <w:t>CA证书办理</w:t>
      </w:r>
      <w:r>
        <w:rPr>
          <w:rFonts w:hint="eastAsia" w:cs="宋体" w:asciiTheme="minorEastAsia" w:hAnsiTheme="minorEastAsia" w:eastAsiaTheme="minorEastAsia"/>
          <w:color w:val="auto"/>
          <w:kern w:val="0"/>
          <w:szCs w:val="21"/>
          <w:highlight w:val="none"/>
        </w:rPr>
        <w:t>技术支撑</w:t>
      </w:r>
      <w:r>
        <w:rPr>
          <w:rFonts w:cs="宋体" w:asciiTheme="minorEastAsia" w:hAnsiTheme="minorEastAsia" w:eastAsiaTheme="minorEastAsia"/>
          <w:color w:val="auto"/>
          <w:kern w:val="0"/>
          <w:szCs w:val="21"/>
          <w:highlight w:val="none"/>
        </w:rPr>
        <w:t>：</w:t>
      </w:r>
      <w:r>
        <w:rPr>
          <w:rFonts w:hint="eastAsia" w:cs="宋体" w:asciiTheme="minorEastAsia" w:hAnsiTheme="minorEastAsia" w:eastAsiaTheme="minorEastAsia"/>
          <w:color w:val="auto"/>
          <w:kern w:val="0"/>
          <w:szCs w:val="21"/>
          <w:highlight w:val="none"/>
        </w:rPr>
        <w:t>【服务热线010-82205275/020-83821931/</w:t>
      </w:r>
      <w:r>
        <w:rPr>
          <w:rFonts w:cs="宋体" w:asciiTheme="minorEastAsia" w:hAnsiTheme="minorEastAsia" w:eastAsiaTheme="minorEastAsia"/>
          <w:color w:val="auto"/>
          <w:kern w:val="0"/>
          <w:szCs w:val="21"/>
          <w:highlight w:val="none"/>
        </w:rPr>
        <w:t>020-83829625</w:t>
      </w:r>
      <w:r>
        <w:rPr>
          <w:rFonts w:hint="eastAsia" w:cs="宋体" w:asciiTheme="minorEastAsia" w:hAnsiTheme="minorEastAsia" w:eastAsiaTheme="minorEastAsia"/>
          <w:color w:val="auto"/>
          <w:kern w:val="0"/>
          <w:szCs w:val="21"/>
          <w:highlight w:val="none"/>
        </w:rPr>
        <w:t>，服务邮箱bfdzyzzy.gyl@chinaccs.cn】</w:t>
      </w:r>
      <w:r>
        <w:rPr>
          <w:rFonts w:cs="宋体" w:asciiTheme="minorEastAsia" w:hAnsiTheme="minorEastAsia" w:eastAsiaTheme="minorEastAsia"/>
          <w:color w:val="auto"/>
          <w:kern w:val="0"/>
          <w:szCs w:val="21"/>
          <w:highlight w:val="none"/>
        </w:rPr>
        <w:t>。</w:t>
      </w:r>
    </w:p>
    <w:p>
      <w:pPr>
        <w:pStyle w:val="9"/>
        <w:numPr>
          <w:ilvl w:val="0"/>
          <w:numId w:val="0"/>
        </w:numPr>
        <w:adjustRightInd w:val="0"/>
        <w:snapToGrid w:val="0"/>
        <w:spacing w:line="440" w:lineRule="exact"/>
        <w:ind w:leftChars="0"/>
        <w:rPr>
          <w:rFonts w:ascii="宋体" w:hAnsi="宋体"/>
          <w:b/>
          <w:color w:val="auto"/>
          <w:szCs w:val="21"/>
          <w:highlight w:val="none"/>
        </w:rPr>
      </w:pPr>
      <w:r>
        <w:rPr>
          <w:rFonts w:hint="eastAsia" w:ascii="宋体" w:hAnsi="宋体"/>
          <w:b/>
          <w:color w:val="auto"/>
          <w:szCs w:val="21"/>
          <w:highlight w:val="none"/>
          <w:lang w:val="en-US" w:eastAsia="zh-CN"/>
        </w:rPr>
        <w:t>8.</w:t>
      </w:r>
      <w:r>
        <w:rPr>
          <w:rFonts w:hint="eastAsia" w:ascii="宋体" w:hAnsi="宋体"/>
          <w:b/>
          <w:color w:val="auto"/>
          <w:szCs w:val="21"/>
          <w:highlight w:val="none"/>
        </w:rPr>
        <w:t>发布公告的媒介</w:t>
      </w:r>
    </w:p>
    <w:p>
      <w:pPr>
        <w:pStyle w:val="9"/>
        <w:adjustRightInd w:val="0"/>
        <w:snapToGrid w:val="0"/>
        <w:spacing w:line="440" w:lineRule="exact"/>
        <w:rPr>
          <w:color w:val="auto"/>
          <w:highlight w:val="none"/>
        </w:rPr>
      </w:pPr>
      <w:r>
        <w:rPr>
          <w:rFonts w:hint="eastAsia" w:asciiTheme="minorEastAsia" w:hAnsiTheme="minorEastAsia" w:eastAsiaTheme="minorEastAsia"/>
          <w:color w:val="auto"/>
          <w:szCs w:val="21"/>
          <w:highlight w:val="none"/>
        </w:rPr>
        <w:t>本比选公告</w:t>
      </w:r>
      <w:r>
        <w:rPr>
          <w:rFonts w:hint="eastAsia" w:asciiTheme="minorEastAsia" w:hAnsiTheme="minorEastAsia" w:eastAsiaTheme="minorEastAsia"/>
          <w:color w:val="auto"/>
          <w:highlight w:val="none"/>
        </w:rPr>
        <w:t>仅在</w:t>
      </w:r>
      <w:r>
        <w:rPr>
          <w:color w:val="auto"/>
          <w:highlight w:val="none"/>
        </w:rPr>
        <w:t>中国电信阳光采购网</w:t>
      </w:r>
    </w:p>
    <w:p>
      <w:pPr>
        <w:pStyle w:val="9"/>
        <w:adjustRightInd w:val="0"/>
        <w:snapToGrid w:val="0"/>
        <w:spacing w:line="440" w:lineRule="exact"/>
        <w:ind w:left="0" w:leftChars="0" w:firstLine="0" w:firstLineChars="0"/>
        <w:rPr>
          <w:rFonts w:ascii="宋体" w:hAnsi="宋体"/>
          <w:color w:val="auto"/>
          <w:szCs w:val="21"/>
          <w:highlight w:val="none"/>
        </w:rPr>
      </w:pPr>
      <w:r>
        <w:rPr>
          <w:rFonts w:hint="eastAsia"/>
          <w:color w:val="auto"/>
          <w:highlight w:val="none"/>
        </w:rPr>
        <w:t>（</w:t>
      </w:r>
      <w:r>
        <w:rPr>
          <w:rFonts w:hint="eastAsia" w:asciiTheme="minorEastAsia" w:hAnsiTheme="minorEastAsia" w:eastAsiaTheme="minorEastAsia"/>
          <w:color w:val="auto"/>
          <w:highlight w:val="none"/>
        </w:rPr>
        <w:t>https://caigou.chinatelecom.com.cn/</w:t>
      </w:r>
      <w:r>
        <w:rPr>
          <w:rFonts w:asciiTheme="minorEastAsia" w:hAnsiTheme="minorEastAsia" w:eastAsiaTheme="minorEastAsia"/>
          <w:color w:val="auto"/>
          <w:highlight w:val="none"/>
        </w:rPr>
        <w:t>ctsc-portal/ctscPortal</w:t>
      </w:r>
      <w:r>
        <w:rPr>
          <w:rFonts w:hint="eastAsia"/>
          <w:color w:val="auto"/>
          <w:highlight w:val="none"/>
        </w:rPr>
        <w:t>）</w:t>
      </w:r>
      <w:r>
        <w:rPr>
          <w:rFonts w:hint="eastAsia" w:asciiTheme="minorEastAsia" w:hAnsiTheme="minorEastAsia" w:eastAsiaTheme="minorEastAsia"/>
          <w:color w:val="auto"/>
          <w:szCs w:val="21"/>
          <w:highlight w:val="none"/>
        </w:rPr>
        <w:t>上发布，其他媒介转载无效</w:t>
      </w:r>
      <w:r>
        <w:rPr>
          <w:rFonts w:hint="eastAsia" w:ascii="宋体" w:hAnsi="宋体"/>
          <w:color w:val="auto"/>
          <w:szCs w:val="21"/>
          <w:highlight w:val="none"/>
        </w:rPr>
        <w:t>。</w:t>
      </w:r>
    </w:p>
    <w:p>
      <w:pPr>
        <w:pStyle w:val="9"/>
        <w:numPr>
          <w:ilvl w:val="0"/>
          <w:numId w:val="0"/>
        </w:numPr>
        <w:adjustRightInd w:val="0"/>
        <w:snapToGrid w:val="0"/>
        <w:spacing w:line="440" w:lineRule="exact"/>
        <w:ind w:leftChars="0"/>
        <w:rPr>
          <w:rFonts w:ascii="宋体" w:hAnsi="宋体"/>
          <w:b/>
          <w:color w:val="auto"/>
          <w:szCs w:val="21"/>
          <w:highlight w:val="none"/>
        </w:rPr>
      </w:pPr>
      <w:r>
        <w:rPr>
          <w:rFonts w:hint="eastAsia" w:ascii="宋体" w:hAnsi="宋体"/>
          <w:b/>
          <w:color w:val="auto"/>
          <w:szCs w:val="21"/>
          <w:highlight w:val="none"/>
          <w:lang w:val="en-US" w:eastAsia="zh-CN"/>
        </w:rPr>
        <w:t>9.</w:t>
      </w:r>
      <w:r>
        <w:rPr>
          <w:rFonts w:hint="eastAsia" w:ascii="宋体" w:hAnsi="宋体"/>
          <w:b/>
          <w:color w:val="auto"/>
          <w:szCs w:val="21"/>
          <w:highlight w:val="none"/>
        </w:rPr>
        <w:t>联系及异议接收方式</w:t>
      </w:r>
    </w:p>
    <w:p>
      <w:pPr>
        <w:pStyle w:val="9"/>
        <w:spacing w:line="400" w:lineRule="exact"/>
        <w:ind w:left="425" w:firstLine="0" w:firstLineChars="0"/>
        <w:rPr>
          <w:rFonts w:ascii="宋体" w:hAnsi="宋体"/>
          <w:color w:val="auto"/>
          <w:highlight w:val="none"/>
        </w:rPr>
      </w:pPr>
      <w:r>
        <w:rPr>
          <w:rFonts w:hint="eastAsia" w:asciiTheme="minorEastAsia" w:hAnsiTheme="minorEastAsia" w:eastAsiaTheme="minorEastAsia"/>
          <w:color w:val="auto"/>
          <w:highlight w:val="none"/>
        </w:rPr>
        <w:t>9.1联系方式</w:t>
      </w:r>
    </w:p>
    <w:p>
      <w:pPr>
        <w:pStyle w:val="9"/>
        <w:spacing w:line="400" w:lineRule="exact"/>
        <w:ind w:firstLine="424" w:firstLineChars="202"/>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比  选 人：中国电信股份有限公司宁德分公司</w:t>
      </w:r>
    </w:p>
    <w:p>
      <w:pPr>
        <w:pStyle w:val="9"/>
        <w:spacing w:line="400" w:lineRule="exact"/>
        <w:ind w:firstLine="424" w:firstLineChars="202"/>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地    址：宁德市蕉城南路99号</w:t>
      </w:r>
    </w:p>
    <w:p>
      <w:pPr>
        <w:pStyle w:val="9"/>
        <w:spacing w:line="400" w:lineRule="exact"/>
        <w:ind w:firstLine="424" w:firstLineChars="202"/>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联 系 人：</w:t>
      </w:r>
      <w:r>
        <w:rPr>
          <w:rFonts w:hint="eastAsia" w:asciiTheme="minorEastAsia" w:hAnsiTheme="minorEastAsia" w:eastAsiaTheme="minorEastAsia"/>
          <w:color w:val="auto"/>
          <w:highlight w:val="none"/>
          <w:lang w:val="en-US" w:eastAsia="zh-CN"/>
        </w:rPr>
        <w:t>张</w:t>
      </w:r>
      <w:r>
        <w:rPr>
          <w:rFonts w:hint="eastAsia" w:asciiTheme="minorEastAsia" w:hAnsiTheme="minorEastAsia" w:eastAsiaTheme="minorEastAsia"/>
          <w:color w:val="auto"/>
          <w:highlight w:val="none"/>
        </w:rPr>
        <w:t>经理</w:t>
      </w:r>
    </w:p>
    <w:p>
      <w:pPr>
        <w:pStyle w:val="9"/>
        <w:spacing w:line="400" w:lineRule="exact"/>
        <w:ind w:firstLine="424" w:firstLineChars="202"/>
        <w:rPr>
          <w:rFonts w:hint="default" w:asciiTheme="minorEastAsia" w:hAnsiTheme="minorEastAsia" w:eastAsiaTheme="minorEastAsia"/>
          <w:color w:val="auto"/>
          <w:highlight w:val="none"/>
          <w:lang w:val="en-US" w:eastAsia="zh-CN"/>
        </w:rPr>
      </w:pPr>
      <w:r>
        <w:rPr>
          <w:rFonts w:hint="eastAsia" w:asciiTheme="minorEastAsia" w:hAnsiTheme="minorEastAsia" w:eastAsiaTheme="minorEastAsia"/>
          <w:color w:val="auto"/>
          <w:highlight w:val="none"/>
        </w:rPr>
        <w:t>电    话：0593-</w:t>
      </w:r>
      <w:r>
        <w:rPr>
          <w:rFonts w:hint="eastAsia" w:asciiTheme="minorEastAsia" w:hAnsiTheme="minorEastAsia" w:eastAsiaTheme="minorEastAsia"/>
          <w:color w:val="auto"/>
          <w:highlight w:val="none"/>
          <w:lang w:val="en-US" w:eastAsia="zh-CN"/>
        </w:rPr>
        <w:t>2993298</w:t>
      </w:r>
    </w:p>
    <w:p>
      <w:pPr>
        <w:pStyle w:val="9"/>
        <w:spacing w:line="400" w:lineRule="exact"/>
        <w:ind w:firstLine="424" w:firstLineChars="202"/>
        <w:rPr>
          <w:rFonts w:hint="eastAsia" w:asciiTheme="minorEastAsia" w:hAnsiTheme="minorEastAsia" w:eastAsiaTheme="minorEastAsia"/>
          <w:color w:val="auto"/>
          <w:highlight w:val="none"/>
        </w:rPr>
      </w:pPr>
    </w:p>
    <w:p>
      <w:pPr>
        <w:pStyle w:val="9"/>
        <w:spacing w:line="400" w:lineRule="exact"/>
        <w:ind w:firstLine="424" w:firstLineChars="202"/>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比选代理机构：福建省中通通信物流有限公司</w:t>
      </w:r>
    </w:p>
    <w:p>
      <w:pPr>
        <w:pStyle w:val="9"/>
        <w:spacing w:line="400" w:lineRule="exact"/>
        <w:ind w:firstLine="424" w:firstLineChars="202"/>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地    址：福州市仓山区信平路10号</w:t>
      </w:r>
    </w:p>
    <w:p>
      <w:pPr>
        <w:pStyle w:val="9"/>
        <w:spacing w:line="400" w:lineRule="exact"/>
        <w:ind w:firstLine="424" w:firstLineChars="202"/>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邮    编：350007</w:t>
      </w:r>
    </w:p>
    <w:p>
      <w:pPr>
        <w:pStyle w:val="9"/>
        <w:spacing w:line="400" w:lineRule="exact"/>
        <w:ind w:firstLine="424" w:firstLineChars="202"/>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项目负责人</w:t>
      </w:r>
      <w:r>
        <w:rPr>
          <w:rFonts w:hint="eastAsia" w:asciiTheme="minorEastAsia" w:hAnsiTheme="minorEastAsia" w:eastAsiaTheme="minorEastAsia"/>
          <w:color w:val="auto"/>
          <w:highlight w:val="none"/>
          <w:lang w:val="en-US" w:eastAsia="zh-CN"/>
        </w:rPr>
        <w:t>1</w:t>
      </w:r>
      <w:r>
        <w:rPr>
          <w:rFonts w:hint="eastAsia" w:asciiTheme="minorEastAsia" w:hAnsiTheme="minorEastAsia" w:eastAsiaTheme="minorEastAsia"/>
          <w:color w:val="auto"/>
          <w:highlight w:val="none"/>
        </w:rPr>
        <w:t xml:space="preserve">：庄灿扬      </w:t>
      </w:r>
    </w:p>
    <w:p>
      <w:pPr>
        <w:pStyle w:val="9"/>
        <w:spacing w:line="400" w:lineRule="exact"/>
        <w:ind w:firstLine="424" w:firstLineChars="202"/>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电      话：15392275666</w:t>
      </w:r>
    </w:p>
    <w:p>
      <w:pPr>
        <w:pStyle w:val="9"/>
        <w:spacing w:line="400" w:lineRule="exact"/>
        <w:ind w:firstLine="424" w:firstLineChars="202"/>
        <w:rPr>
          <w:rFonts w:hint="eastAsia" w:asciiTheme="minorEastAsia" w:hAnsiTheme="minorEastAsia" w:eastAsiaTheme="minorEastAsia"/>
          <w:color w:val="auto"/>
          <w:highlight w:val="none"/>
          <w:u w:val="none"/>
        </w:rPr>
      </w:pPr>
      <w:r>
        <w:rPr>
          <w:rFonts w:hint="eastAsia" w:asciiTheme="minorEastAsia" w:hAnsiTheme="minorEastAsia" w:eastAsiaTheme="minorEastAsia"/>
          <w:color w:val="auto"/>
          <w:highlight w:val="none"/>
        </w:rPr>
        <w:t>电 子 邮箱：</w:t>
      </w:r>
      <w:r>
        <w:rPr>
          <w:rFonts w:hint="eastAsia" w:asciiTheme="minorEastAsia" w:hAnsiTheme="minorEastAsia" w:eastAsiaTheme="minorEastAsia"/>
          <w:color w:val="auto"/>
          <w:highlight w:val="none"/>
          <w:u w:val="none"/>
        </w:rPr>
        <w:fldChar w:fldCharType="begin"/>
      </w:r>
      <w:r>
        <w:rPr>
          <w:rFonts w:hint="eastAsia" w:asciiTheme="minorEastAsia" w:hAnsiTheme="minorEastAsia" w:eastAsiaTheme="minorEastAsia"/>
          <w:color w:val="auto"/>
          <w:highlight w:val="none"/>
          <w:u w:val="none"/>
        </w:rPr>
        <w:instrText xml:space="preserve"> HYPERLINK "mailto:zhuangcanyang@chinaccs.cn" </w:instrText>
      </w:r>
      <w:r>
        <w:rPr>
          <w:rFonts w:hint="eastAsia" w:asciiTheme="minorEastAsia" w:hAnsiTheme="minorEastAsia" w:eastAsiaTheme="minorEastAsia"/>
          <w:color w:val="auto"/>
          <w:highlight w:val="none"/>
          <w:u w:val="none"/>
        </w:rPr>
        <w:fldChar w:fldCharType="separate"/>
      </w:r>
      <w:r>
        <w:rPr>
          <w:rStyle w:val="6"/>
          <w:rFonts w:hint="eastAsia" w:asciiTheme="minorEastAsia" w:hAnsiTheme="minorEastAsia" w:eastAsiaTheme="minorEastAsia"/>
          <w:color w:val="auto"/>
          <w:highlight w:val="none"/>
          <w:u w:val="none"/>
        </w:rPr>
        <w:t>zhuangcanyang@chinaccs.cn</w:t>
      </w:r>
      <w:r>
        <w:rPr>
          <w:rFonts w:hint="eastAsia" w:asciiTheme="minorEastAsia" w:hAnsiTheme="minorEastAsia" w:eastAsiaTheme="minorEastAsia"/>
          <w:color w:val="auto"/>
          <w:highlight w:val="none"/>
          <w:u w:val="none"/>
        </w:rPr>
        <w:fldChar w:fldCharType="end"/>
      </w:r>
    </w:p>
    <w:p>
      <w:pPr>
        <w:pStyle w:val="9"/>
        <w:spacing w:line="400" w:lineRule="exact"/>
        <w:ind w:firstLine="424" w:firstLineChars="202"/>
        <w:rPr>
          <w:rFonts w:hint="eastAsia" w:asciiTheme="minorEastAsia" w:hAnsiTheme="minorEastAsia" w:eastAsiaTheme="minorEastAsia"/>
          <w:color w:val="auto"/>
          <w:highlight w:val="none"/>
        </w:rPr>
      </w:pPr>
    </w:p>
    <w:p>
      <w:pPr>
        <w:pStyle w:val="9"/>
        <w:spacing w:line="400" w:lineRule="exact"/>
        <w:ind w:firstLine="424" w:firstLineChars="202"/>
        <w:rPr>
          <w:rFonts w:hint="eastAsia" w:ascii="宋体" w:hAnsi="宋体"/>
          <w:szCs w:val="21"/>
        </w:rPr>
      </w:pPr>
      <w:r>
        <w:rPr>
          <w:rFonts w:hint="eastAsia" w:asciiTheme="minorEastAsia" w:hAnsiTheme="minorEastAsia" w:eastAsiaTheme="minorEastAsia"/>
          <w:color w:val="auto"/>
          <w:highlight w:val="none"/>
        </w:rPr>
        <w:t>项目负责人</w:t>
      </w:r>
      <w:r>
        <w:rPr>
          <w:rFonts w:hint="eastAsia" w:asciiTheme="minorEastAsia" w:hAnsiTheme="minorEastAsia" w:eastAsiaTheme="minorEastAsia"/>
          <w:color w:val="auto"/>
          <w:highlight w:val="none"/>
          <w:lang w:val="en-US" w:eastAsia="zh-CN"/>
        </w:rPr>
        <w:t>2</w:t>
      </w:r>
      <w:r>
        <w:rPr>
          <w:rFonts w:hint="eastAsia" w:asciiTheme="minorEastAsia" w:hAnsiTheme="minorEastAsia" w:eastAsiaTheme="minorEastAsia"/>
          <w:color w:val="auto"/>
          <w:highlight w:val="none"/>
        </w:rPr>
        <w:t>：</w:t>
      </w:r>
      <w:r>
        <w:rPr>
          <w:rFonts w:hint="eastAsia" w:ascii="宋体" w:hAnsi="宋体"/>
          <w:szCs w:val="21"/>
        </w:rPr>
        <w:t xml:space="preserve">张力殳  </w:t>
      </w:r>
    </w:p>
    <w:p>
      <w:pPr>
        <w:pStyle w:val="9"/>
        <w:spacing w:line="400" w:lineRule="exact"/>
        <w:ind w:firstLine="424" w:firstLineChars="202"/>
        <w:rPr>
          <w:rFonts w:hint="eastAsia" w:ascii="宋体" w:hAnsi="宋体"/>
          <w:szCs w:val="21"/>
        </w:rPr>
      </w:pPr>
      <w:r>
        <w:rPr>
          <w:rFonts w:hint="eastAsia" w:asciiTheme="minorEastAsia" w:hAnsiTheme="minorEastAsia" w:eastAsiaTheme="minorEastAsia"/>
          <w:color w:val="auto"/>
          <w:highlight w:val="none"/>
        </w:rPr>
        <w:t>电      话</w:t>
      </w:r>
      <w:r>
        <w:rPr>
          <w:rFonts w:hint="eastAsia" w:ascii="宋体" w:hAnsi="宋体"/>
          <w:szCs w:val="21"/>
        </w:rPr>
        <w:t>：13305002133</w:t>
      </w:r>
    </w:p>
    <w:p>
      <w:pPr>
        <w:pStyle w:val="9"/>
        <w:spacing w:line="400" w:lineRule="exact"/>
        <w:ind w:firstLine="424" w:firstLineChars="202"/>
        <w:rPr>
          <w:rFonts w:hint="eastAsia" w:ascii="宋体" w:hAnsi="宋体"/>
          <w:szCs w:val="21"/>
        </w:rPr>
      </w:pPr>
    </w:p>
    <w:p>
      <w:pPr>
        <w:pStyle w:val="9"/>
        <w:spacing w:line="400" w:lineRule="exact"/>
        <w:ind w:firstLine="424" w:firstLineChars="202"/>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9.2异议接收方</w:t>
      </w:r>
    </w:p>
    <w:p>
      <w:pPr>
        <w:pStyle w:val="9"/>
        <w:spacing w:line="400" w:lineRule="exact"/>
        <w:ind w:left="0" w:leftChars="0" w:firstLine="0" w:firstLineChars="0"/>
        <w:rPr>
          <w:rFonts w:hint="eastAsia" w:ascii="宋体" w:hAnsi="宋体"/>
          <w:color w:val="auto"/>
          <w:highlight w:val="none"/>
        </w:rPr>
      </w:pPr>
      <w:r>
        <w:rPr>
          <w:rFonts w:hint="eastAsia" w:ascii="宋体" w:hAnsi="宋体"/>
          <w:color w:val="auto"/>
          <w:highlight w:val="none"/>
        </w:rPr>
        <w:t>【登录【中国电信阳光采购网</w:t>
      </w:r>
    </w:p>
    <w:p>
      <w:pPr>
        <w:pStyle w:val="9"/>
        <w:spacing w:line="400" w:lineRule="exact"/>
        <w:ind w:left="0" w:leftChars="0" w:firstLine="0" w:firstLineChars="0"/>
        <w:rPr>
          <w:rFonts w:ascii="宋体" w:hAnsi="宋体"/>
          <w:color w:val="auto"/>
          <w:highlight w:val="none"/>
        </w:rPr>
      </w:pPr>
      <w:r>
        <w:rPr>
          <w:rFonts w:hint="eastAsia" w:ascii="宋体" w:hAnsi="宋体"/>
          <w:color w:val="auto"/>
          <w:highlight w:val="none"/>
        </w:rPr>
        <w:t>（https://caigou.chinatelecom.com.cn/ctsc-portal/ctscPortal）】后，通过“招投标-采购异议-提出异议”模块提出。</w:t>
      </w:r>
    </w:p>
    <w:p>
      <w:pPr>
        <w:pStyle w:val="9"/>
        <w:spacing w:line="400" w:lineRule="exact"/>
        <w:ind w:left="425" w:firstLine="0" w:firstLineChars="0"/>
        <w:rPr>
          <w:rFonts w:ascii="宋体" w:hAnsi="宋体"/>
          <w:color w:val="auto"/>
          <w:highlight w:val="none"/>
        </w:rPr>
      </w:pPr>
    </w:p>
    <w:p>
      <w:pPr>
        <w:pStyle w:val="9"/>
        <w:pageBreakBefore w:val="0"/>
        <w:kinsoku/>
        <w:overflowPunct/>
        <w:bidi w:val="0"/>
        <w:spacing w:line="360" w:lineRule="auto"/>
        <w:ind w:left="424" w:leftChars="202" w:firstLine="1890" w:firstLineChars="900"/>
        <w:rPr>
          <w:rFonts w:hint="eastAsia" w:ascii="宋体" w:hAnsi="宋体" w:eastAsia="宋体" w:cs="宋体"/>
          <w:color w:val="auto"/>
          <w:highlight w:val="none"/>
        </w:rPr>
      </w:pPr>
      <w:r>
        <w:rPr>
          <w:rFonts w:hint="eastAsia" w:ascii="宋体" w:hAnsi="宋体" w:eastAsia="宋体" w:cs="宋体"/>
          <w:color w:val="auto"/>
          <w:highlight w:val="none"/>
        </w:rPr>
        <w:t>比选代理机构：福建省中通通信物流有限公司</w:t>
      </w:r>
    </w:p>
    <w:p>
      <w:r>
        <w:rPr>
          <w:rFonts w:hint="eastAsia" w:ascii="宋体" w:hAnsi="宋体" w:eastAsia="宋体" w:cs="宋体"/>
          <w:color w:val="auto"/>
          <w:highlight w:val="none"/>
        </w:rPr>
        <w:t xml:space="preserve">                   </w:t>
      </w:r>
      <w:r>
        <w:rPr>
          <w:rFonts w:hint="eastAsia" w:ascii="宋体" w:hAnsi="宋体" w:eastAsia="宋体" w:cs="宋体"/>
          <w:color w:val="auto"/>
          <w:szCs w:val="21"/>
          <w:highlight w:val="none"/>
          <w:u w:val="none"/>
        </w:rPr>
        <w:t>202</w:t>
      </w:r>
      <w:r>
        <w:rPr>
          <w:rFonts w:hint="eastAsia" w:ascii="宋体" w:hAnsi="宋体" w:cs="宋体"/>
          <w:color w:val="auto"/>
          <w:szCs w:val="21"/>
          <w:highlight w:val="none"/>
          <w:u w:val="none"/>
          <w:lang w:val="en-US" w:eastAsia="zh-CN"/>
        </w:rPr>
        <w:t>3</w:t>
      </w:r>
      <w:r>
        <w:rPr>
          <w:rFonts w:hint="eastAsia" w:ascii="宋体" w:hAnsi="宋体" w:eastAsia="宋体" w:cs="宋体"/>
          <w:color w:val="auto"/>
          <w:szCs w:val="21"/>
          <w:highlight w:val="none"/>
          <w:u w:val="none"/>
        </w:rPr>
        <w:t>年</w:t>
      </w:r>
      <w:r>
        <w:rPr>
          <w:rFonts w:hint="eastAsia" w:ascii="宋体" w:hAnsi="宋体" w:cs="宋体"/>
          <w:color w:val="auto"/>
          <w:szCs w:val="21"/>
          <w:highlight w:val="none"/>
          <w:u w:val="none"/>
          <w:lang w:val="en-US" w:eastAsia="zh-CN"/>
        </w:rPr>
        <w:t>5</w:t>
      </w:r>
      <w:r>
        <w:rPr>
          <w:rFonts w:hint="eastAsia" w:ascii="宋体" w:hAnsi="宋体" w:eastAsia="宋体" w:cs="宋体"/>
          <w:color w:val="auto"/>
          <w:szCs w:val="21"/>
          <w:highlight w:val="none"/>
          <w:u w:val="none"/>
        </w:rPr>
        <w:t>月</w:t>
      </w:r>
      <w:r>
        <w:rPr>
          <w:rFonts w:hint="eastAsia" w:ascii="宋体" w:hAnsi="宋体" w:cs="宋体"/>
          <w:color w:val="auto"/>
          <w:szCs w:val="21"/>
          <w:highlight w:val="none"/>
          <w:u w:val="none"/>
          <w:lang w:val="en-US" w:eastAsia="zh-CN"/>
        </w:rPr>
        <w:t>15</w:t>
      </w:r>
      <w:r>
        <w:rPr>
          <w:rFonts w:hint="eastAsia" w:ascii="宋体" w:hAnsi="宋体" w:eastAsia="宋体" w:cs="宋体"/>
          <w:color w:val="auto"/>
          <w:szCs w:val="21"/>
          <w:highlight w:val="none"/>
          <w:u w:val="none"/>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0M2EwMzcwYmM1ZjUyN2VkODZjMzY5MGYzYTQzNWIifQ=="/>
  </w:docVars>
  <w:rsids>
    <w:rsidRoot w:val="00000000"/>
    <w:rsid w:val="0C8B09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Normal Indent"/>
    <w:basedOn w:val="1"/>
    <w:next w:val="1"/>
    <w:qFormat/>
    <w:uiPriority w:val="99"/>
    <w:pPr>
      <w:autoSpaceDE w:val="0"/>
      <w:autoSpaceDN w:val="0"/>
      <w:adjustRightInd w:val="0"/>
      <w:spacing w:line="315" w:lineRule="atLeast"/>
      <w:ind w:firstLine="420"/>
      <w:jc w:val="left"/>
    </w:pPr>
    <w:rPr>
      <w:rFonts w:ascii="楷体_GB2312" w:eastAsia="楷体_GB2312"/>
      <w:kern w:val="0"/>
      <w:sz w:val="28"/>
      <w:szCs w:val="20"/>
    </w:rPr>
  </w:style>
  <w:style w:type="character" w:styleId="6">
    <w:name w:val="Hyperlink"/>
    <w:qFormat/>
    <w:uiPriority w:val="99"/>
    <w:rPr>
      <w:color w:val="0000FF"/>
      <w:u w:val="single"/>
    </w:rPr>
  </w:style>
  <w:style w:type="character" w:styleId="7">
    <w:name w:val="annotation reference"/>
    <w:qFormat/>
    <w:uiPriority w:val="0"/>
    <w:rPr>
      <w:sz w:val="21"/>
      <w:szCs w:val="21"/>
    </w:rPr>
  </w:style>
  <w:style w:type="paragraph" w:customStyle="1" w:styleId="8">
    <w:name w:val="bt1bt1"/>
    <w:basedOn w:val="3"/>
    <w:qFormat/>
    <w:uiPriority w:val="0"/>
    <w:pPr>
      <w:spacing w:line="240" w:lineRule="auto"/>
      <w:jc w:val="center"/>
    </w:pPr>
    <w:rPr>
      <w:rFonts w:ascii="黑体" w:eastAsia="黑体"/>
      <w:b w:val="0"/>
      <w:sz w:val="36"/>
      <w:szCs w:val="36"/>
    </w:rPr>
  </w:style>
  <w:style w:type="paragraph" w:styleId="9">
    <w:name w:val="List Paragraph"/>
    <w:basedOn w:val="1"/>
    <w:unhideWhenUsed/>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2023-05-15T02:10:56Z</dcterms:created>
  <dc:creator>15392</dc:creator>
  <cp:lastModifiedBy>zhuangcy</cp:lastModifiedBy>
  <dcterms:modified xsi:type="dcterms:W3CDTF">2023-05-15T02:11:15Z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A0C69BEA6F064DE6BC377C3C22515129_12</vt:lpwstr>
  </property>
</Properties>
</file>