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240" w:after="120"/>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2023年中国电信宁德分公司营业网点装修改造项目</w:t>
      </w:r>
      <w:bookmarkStart w:id="8" w:name="_GoBack"/>
      <w:bookmarkEnd w:id="8"/>
      <w:r>
        <w:rPr>
          <w:rFonts w:hint="eastAsia" w:ascii="宋体" w:hAnsi="宋体" w:eastAsia="宋体" w:cs="宋体"/>
          <w:b/>
          <w:bCs w:val="0"/>
          <w:color w:val="auto"/>
          <w:kern w:val="0"/>
          <w:sz w:val="28"/>
          <w:szCs w:val="28"/>
          <w:highlight w:val="none"/>
        </w:rPr>
        <w:t>比选公告</w:t>
      </w:r>
    </w:p>
    <w:p>
      <w:pPr>
        <w:pageBreakBefore w:val="0"/>
        <w:kinsoku/>
        <w:overflowPunct/>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本比选项目为</w:t>
      </w:r>
      <w:r>
        <w:rPr>
          <w:rFonts w:hint="eastAsia" w:ascii="宋体" w:hAnsi="宋体" w:cs="宋体"/>
          <w:color w:val="auto"/>
          <w:szCs w:val="21"/>
          <w:highlight w:val="none"/>
          <w:lang w:eastAsia="zh-CN"/>
        </w:rPr>
        <w:t>2023年中国电信宁德分公司营业网点装修改造项目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比选编号</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FJZT-2023-10282</w:t>
      </w:r>
      <w:r>
        <w:rPr>
          <w:rFonts w:hint="eastAsia" w:ascii="宋体" w:hAnsi="宋体" w:eastAsia="宋体" w:cs="宋体"/>
          <w:color w:val="auto"/>
          <w:szCs w:val="21"/>
          <w:highlight w:val="none"/>
        </w:rPr>
        <w:t>），比选人为</w:t>
      </w:r>
      <w:r>
        <w:rPr>
          <w:rFonts w:hint="eastAsia" w:ascii="宋体" w:hAnsi="宋体" w:eastAsia="宋体" w:cs="宋体"/>
          <w:color w:val="auto"/>
          <w:szCs w:val="21"/>
          <w:highlight w:val="none"/>
          <w:lang w:eastAsia="zh-CN"/>
        </w:rPr>
        <w:t>中国电信股份有限公司宁德分公司</w:t>
      </w:r>
      <w:r>
        <w:rPr>
          <w:rFonts w:hint="eastAsia" w:ascii="宋体" w:hAnsi="宋体" w:eastAsia="宋体" w:cs="宋体"/>
          <w:color w:val="auto"/>
          <w:szCs w:val="21"/>
          <w:highlight w:val="none"/>
        </w:rPr>
        <w:t>，比选代理机构为福建省中通通信物流有限公司。项目资金已落实，具备比选条件，现进行公开比选，特邀请有意向的且具有提供标的物能力的潜在参选人（以下简称参选人）参选。</w:t>
      </w:r>
    </w:p>
    <w:p>
      <w:pPr>
        <w:pStyle w:val="8"/>
        <w:numPr>
          <w:ilvl w:val="0"/>
          <w:numId w:val="0"/>
        </w:numPr>
        <w:adjustRightInd w:val="0"/>
        <w:snapToGrid w:val="0"/>
        <w:spacing w:line="440" w:lineRule="exact"/>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项目概况与采购内容</w:t>
      </w:r>
    </w:p>
    <w:p>
      <w:pPr>
        <w:pStyle w:val="8"/>
        <w:numPr>
          <w:ilvl w:val="0"/>
          <w:numId w:val="0"/>
        </w:numPr>
        <w:adjustRightInd w:val="0"/>
        <w:snapToGrid w:val="0"/>
        <w:spacing w:line="440" w:lineRule="exact"/>
        <w:ind w:left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项目概况</w:t>
      </w:r>
    </w:p>
    <w:p>
      <w:pPr>
        <w:pStyle w:val="8"/>
        <w:numPr>
          <w:ilvl w:val="0"/>
          <w:numId w:val="0"/>
        </w:numPr>
        <w:adjustRightInd w:val="0"/>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2023年中国电信宁德分公司营业网点装修改造项目</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预算金额为</w:t>
      </w:r>
      <w:bookmarkStart w:id="0" w:name="_Hlk102748068"/>
      <w:r>
        <w:rPr>
          <w:rFonts w:hint="eastAsia" w:ascii="宋体" w:hAnsi="宋体" w:cs="宋体"/>
          <w:color w:val="auto"/>
          <w:sz w:val="21"/>
          <w:szCs w:val="21"/>
          <w:highlight w:val="none"/>
          <w:lang w:val="en-US" w:eastAsia="zh-CN"/>
        </w:rPr>
        <w:t>240</w:t>
      </w:r>
      <w:r>
        <w:rPr>
          <w:rFonts w:hint="eastAsia" w:ascii="宋体" w:hAnsi="宋体" w:eastAsia="宋体" w:cs="宋体"/>
          <w:color w:val="000000" w:themeColor="text1"/>
          <w:szCs w:val="21"/>
          <w14:textFill>
            <w14:solidFill>
              <w14:schemeClr w14:val="tx1"/>
            </w14:solidFill>
          </w14:textFill>
        </w:rPr>
        <w:t>万</w:t>
      </w:r>
      <w:r>
        <w:rPr>
          <w:rFonts w:hint="eastAsia" w:ascii="宋体" w:hAnsi="宋体" w:eastAsia="宋体" w:cs="宋体"/>
          <w:color w:val="000000" w:themeColor="text1"/>
          <w:szCs w:val="21"/>
          <w:lang w:val="en-US" w:eastAsia="zh-CN"/>
          <w14:textFill>
            <w14:solidFill>
              <w14:schemeClr w14:val="tx1"/>
            </w14:solidFill>
          </w14:textFill>
        </w:rPr>
        <w:t>元</w:t>
      </w:r>
      <w:r>
        <w:rPr>
          <w:rFonts w:hint="eastAsia" w:ascii="宋体" w:hAnsi="宋体" w:eastAsia="宋体" w:cs="宋体"/>
          <w:szCs w:val="21"/>
        </w:rPr>
        <w:t>人民币（不含税）</w:t>
      </w:r>
      <w:bookmarkEnd w:id="0"/>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本项目为集中采购项目。</w:t>
      </w:r>
    </w:p>
    <w:p>
      <w:pPr>
        <w:pStyle w:val="8"/>
        <w:numPr>
          <w:ilvl w:val="0"/>
          <w:numId w:val="0"/>
        </w:numPr>
        <w:adjustRightInd w:val="0"/>
        <w:snapToGrid w:val="0"/>
        <w:spacing w:line="440" w:lineRule="exact"/>
        <w:ind w:left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采购内容</w:t>
      </w:r>
    </w:p>
    <w:p>
      <w:pPr>
        <w:adjustRightInd w:val="0"/>
        <w:snapToGrid w:val="0"/>
        <w:spacing w:line="420" w:lineRule="atLeast"/>
        <w:ind w:firstLine="420" w:firstLineChars="200"/>
        <w:rPr>
          <w:rFonts w:hint="eastAsia" w:ascii="宋体" w:hAnsi="宋体" w:eastAsia="宋体" w:cs="宋体"/>
          <w:sz w:val="21"/>
          <w:szCs w:val="21"/>
        </w:rPr>
      </w:pPr>
      <w:bookmarkStart w:id="1" w:name="_Toc184704555"/>
      <w:bookmarkStart w:id="2" w:name="_Toc319394714"/>
      <w:bookmarkStart w:id="3" w:name="_Toc319769473"/>
      <w:r>
        <w:rPr>
          <w:rFonts w:hint="eastAsia" w:ascii="宋体" w:hAnsi="宋体" w:eastAsia="宋体" w:cs="宋体"/>
          <w:sz w:val="21"/>
          <w:szCs w:val="21"/>
          <w:lang w:val="en-US" w:eastAsia="zh-CN"/>
        </w:rPr>
        <w:t>本项目</w:t>
      </w:r>
      <w:r>
        <w:rPr>
          <w:rFonts w:hint="eastAsia" w:ascii="宋体" w:hAnsi="宋体" w:eastAsia="宋体" w:cs="宋体"/>
          <w:sz w:val="21"/>
          <w:szCs w:val="21"/>
        </w:rPr>
        <w:t>主要为对</w:t>
      </w:r>
      <w:r>
        <w:rPr>
          <w:rFonts w:hint="eastAsia" w:ascii="宋体" w:hAnsi="宋体" w:eastAsia="宋体" w:cs="宋体"/>
          <w:sz w:val="21"/>
          <w:szCs w:val="21"/>
          <w:lang w:val="en-US" w:eastAsia="zh-CN"/>
        </w:rPr>
        <w:t>宁德市</w:t>
      </w:r>
      <w:r>
        <w:rPr>
          <w:rFonts w:hint="eastAsia" w:ascii="宋体" w:hAnsi="宋体" w:eastAsia="宋体" w:cs="宋体"/>
          <w:sz w:val="21"/>
          <w:szCs w:val="21"/>
        </w:rPr>
        <w:t>各县市分公司电信</w:t>
      </w:r>
      <w:r>
        <w:rPr>
          <w:rFonts w:hint="eastAsia" w:ascii="宋体" w:hAnsi="宋体"/>
          <w:szCs w:val="21"/>
        </w:rPr>
        <w:t>营业厅</w:t>
      </w:r>
      <w:r>
        <w:rPr>
          <w:rFonts w:hint="eastAsia" w:ascii="宋体" w:hAnsi="宋体" w:eastAsia="宋体" w:cs="宋体"/>
          <w:sz w:val="21"/>
          <w:szCs w:val="21"/>
        </w:rPr>
        <w:t>进行</w:t>
      </w:r>
      <w:r>
        <w:rPr>
          <w:rFonts w:hint="eastAsia" w:ascii="宋体" w:hAnsi="宋体" w:cs="宋体"/>
          <w:sz w:val="21"/>
          <w:szCs w:val="21"/>
          <w:lang w:val="en-US" w:eastAsia="zh-CN"/>
        </w:rPr>
        <w:t>装修</w:t>
      </w:r>
      <w:r>
        <w:rPr>
          <w:rFonts w:hint="eastAsia" w:ascii="宋体" w:hAnsi="宋体" w:eastAsia="宋体" w:cs="宋体"/>
          <w:sz w:val="21"/>
          <w:szCs w:val="21"/>
        </w:rPr>
        <w:t>改造，具体单个工程工作内容以</w:t>
      </w:r>
      <w:r>
        <w:rPr>
          <w:rFonts w:hint="eastAsia" w:ascii="宋体" w:hAnsi="宋体" w:eastAsia="宋体" w:cs="宋体"/>
          <w:sz w:val="21"/>
          <w:szCs w:val="21"/>
          <w:lang w:val="en-US" w:eastAsia="zh-CN"/>
        </w:rPr>
        <w:t>比选</w:t>
      </w:r>
      <w:r>
        <w:rPr>
          <w:rFonts w:hint="eastAsia" w:ascii="宋体" w:hAnsi="宋体" w:eastAsia="宋体" w:cs="宋体"/>
          <w:sz w:val="21"/>
          <w:szCs w:val="21"/>
        </w:rPr>
        <w:t>人下达订单为准</w:t>
      </w:r>
      <w:r>
        <w:rPr>
          <w:rFonts w:hint="eastAsia" w:ascii="宋体" w:hAnsi="宋体" w:eastAsia="宋体" w:cs="宋体"/>
          <w:sz w:val="21"/>
          <w:szCs w:val="21"/>
          <w:lang w:eastAsia="zh-CN"/>
        </w:rPr>
        <w:t>，具体金额以实际工程量为准</w:t>
      </w:r>
      <w:r>
        <w:rPr>
          <w:rFonts w:hint="eastAsia" w:ascii="宋体" w:hAnsi="宋体" w:eastAsia="宋体" w:cs="宋体"/>
          <w:sz w:val="21"/>
          <w:szCs w:val="21"/>
        </w:rPr>
        <w:t>。</w:t>
      </w:r>
    </w:p>
    <w:p>
      <w:pPr>
        <w:adjustRightInd w:val="0"/>
        <w:snapToGrid w:val="0"/>
        <w:spacing w:line="440" w:lineRule="exact"/>
        <w:ind w:firstLine="428" w:firstLineChars="200"/>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rPr>
        <w:t>（1）</w:t>
      </w:r>
      <w:r>
        <w:rPr>
          <w:rFonts w:hint="eastAsia" w:ascii="宋体" w:hAnsi="宋体" w:eastAsia="宋体" w:cs="宋体"/>
          <w:bCs/>
          <w:kern w:val="0"/>
          <w:sz w:val="21"/>
          <w:szCs w:val="21"/>
        </w:rPr>
        <w:t>★</w:t>
      </w:r>
      <w:r>
        <w:rPr>
          <w:rFonts w:hint="eastAsia" w:ascii="宋体" w:hAnsi="宋体" w:eastAsia="宋体" w:cs="宋体"/>
          <w:color w:val="000000"/>
          <w:spacing w:val="2"/>
          <w:sz w:val="21"/>
          <w:szCs w:val="21"/>
        </w:rPr>
        <w:t>采购要求</w:t>
      </w:r>
      <w:r>
        <w:rPr>
          <w:rFonts w:hint="eastAsia" w:ascii="宋体" w:hAnsi="宋体" w:eastAsia="宋体" w:cs="宋体"/>
          <w:color w:val="000000"/>
          <w:spacing w:val="2"/>
          <w:sz w:val="21"/>
          <w:szCs w:val="21"/>
          <w:lang w:eastAsia="zh-CN"/>
        </w:rPr>
        <w:t>：以包工包料方式承包。</w:t>
      </w:r>
    </w:p>
    <w:p>
      <w:pPr>
        <w:adjustRightInd w:val="0"/>
        <w:snapToGrid w:val="0"/>
        <w:spacing w:line="440" w:lineRule="exact"/>
        <w:ind w:firstLine="428" w:firstLineChars="200"/>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（2）</w:t>
      </w:r>
      <w:r>
        <w:rPr>
          <w:rFonts w:hint="eastAsia" w:ascii="宋体" w:hAnsi="宋体" w:eastAsia="宋体" w:cs="宋体"/>
          <w:bCs/>
          <w:kern w:val="0"/>
          <w:sz w:val="21"/>
          <w:szCs w:val="21"/>
        </w:rPr>
        <w:t>★</w:t>
      </w:r>
      <w:r>
        <w:rPr>
          <w:rFonts w:hint="eastAsia" w:ascii="宋体" w:hAnsi="宋体" w:eastAsia="宋体" w:cs="宋体"/>
          <w:color w:val="000000"/>
          <w:spacing w:val="2"/>
          <w:sz w:val="21"/>
          <w:szCs w:val="21"/>
        </w:rPr>
        <w:t>工期要求：</w:t>
      </w:r>
      <w:r>
        <w:rPr>
          <w:rFonts w:hint="eastAsia" w:ascii="宋体" w:hAnsi="宋体" w:eastAsia="宋体" w:cs="宋体"/>
          <w:color w:val="000000"/>
          <w:kern w:val="0"/>
          <w:sz w:val="21"/>
          <w:szCs w:val="21"/>
        </w:rPr>
        <w:t>各单项工程工期以实际委托订单为准。</w:t>
      </w:r>
    </w:p>
    <w:p>
      <w:pPr>
        <w:adjustRightInd w:val="0"/>
        <w:snapToGrid w:val="0"/>
        <w:spacing w:line="420" w:lineRule="atLeast"/>
        <w:ind w:firstLine="428" w:firstLineChars="200"/>
        <w:rPr>
          <w:rFonts w:hint="eastAsia" w:ascii="宋体" w:hAnsi="宋体" w:eastAsia="宋体" w:cs="宋体"/>
          <w:sz w:val="21"/>
          <w:szCs w:val="21"/>
          <w:lang w:val="en-US" w:eastAsia="zh-CN"/>
        </w:rPr>
      </w:pPr>
      <w:r>
        <w:rPr>
          <w:rFonts w:hint="eastAsia" w:ascii="宋体" w:hAnsi="宋体" w:eastAsia="宋体" w:cs="宋体"/>
          <w:color w:val="000000"/>
          <w:spacing w:val="2"/>
          <w:sz w:val="21"/>
          <w:szCs w:val="21"/>
        </w:rPr>
        <w:t>（</w:t>
      </w:r>
      <w:r>
        <w:rPr>
          <w:rFonts w:hint="eastAsia" w:ascii="宋体" w:hAnsi="宋体" w:eastAsia="宋体" w:cs="宋体"/>
          <w:sz w:val="21"/>
          <w:szCs w:val="21"/>
        </w:rPr>
        <w:t>3）★实施地点：宁德</w:t>
      </w:r>
      <w:r>
        <w:rPr>
          <w:rFonts w:hint="eastAsia" w:ascii="宋体" w:hAnsi="宋体" w:eastAsia="宋体" w:cs="宋体"/>
          <w:sz w:val="21"/>
          <w:szCs w:val="21"/>
          <w:lang w:val="en-US" w:eastAsia="zh-CN"/>
        </w:rPr>
        <w:t>市</w:t>
      </w:r>
      <w:r>
        <w:rPr>
          <w:rFonts w:hint="eastAsia" w:ascii="宋体" w:hAnsi="宋体" w:eastAsia="宋体" w:cs="宋体"/>
          <w:sz w:val="21"/>
          <w:szCs w:val="21"/>
        </w:rPr>
        <w:t>各电信</w:t>
      </w:r>
      <w:r>
        <w:rPr>
          <w:rFonts w:hint="eastAsia" w:ascii="宋体" w:hAnsi="宋体" w:cs="宋体"/>
          <w:sz w:val="21"/>
          <w:szCs w:val="21"/>
          <w:lang w:val="en-US" w:eastAsia="zh-CN"/>
        </w:rPr>
        <w:t>营业厅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比选人指定地点。</w:t>
      </w:r>
    </w:p>
    <w:p>
      <w:pPr>
        <w:adjustRightInd w:val="0"/>
        <w:snapToGrid w:val="0"/>
        <w:spacing w:line="4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（4）★维保期</w:t>
      </w:r>
      <w:r>
        <w:rPr>
          <w:rFonts w:hint="eastAsia" w:ascii="宋体" w:hAnsi="宋体" w:cs="宋体"/>
          <w:sz w:val="21"/>
          <w:szCs w:val="21"/>
          <w:lang w:eastAsia="zh-CN"/>
        </w:rPr>
        <w:t>：</w:t>
      </w:r>
      <w:r>
        <w:rPr>
          <w:rFonts w:hint="eastAsia" w:ascii="宋体" w:hAnsi="宋体" w:eastAsia="宋体" w:cs="宋体"/>
          <w:sz w:val="21"/>
          <w:szCs w:val="21"/>
        </w:rPr>
        <w:t>12个月，从单个工程验收合格之日起开始计算。</w:t>
      </w:r>
    </w:p>
    <w:p>
      <w:pPr>
        <w:adjustRightInd w:val="0"/>
        <w:snapToGrid w:val="0"/>
        <w:spacing w:line="420" w:lineRule="atLeas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★工程质量要求：验收合格，达到国家、行业、中国电信的内部有关技术规范、标准、规定及设计的要求。</w:t>
      </w:r>
    </w:p>
    <w:p>
      <w:pPr>
        <w:adjustRightInd w:val="0"/>
        <w:snapToGrid w:val="0"/>
        <w:spacing w:line="42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集中</w:t>
      </w:r>
      <w:r>
        <w:rPr>
          <w:rFonts w:hint="eastAsia" w:ascii="宋体" w:hAnsi="宋体" w:eastAsia="宋体" w:cs="宋体"/>
          <w:sz w:val="21"/>
          <w:szCs w:val="21"/>
          <w:lang w:val="en-US" w:eastAsia="zh-CN"/>
        </w:rPr>
        <w:t>比选</w:t>
      </w:r>
      <w:r>
        <w:rPr>
          <w:rFonts w:hint="eastAsia" w:ascii="宋体" w:hAnsi="宋体" w:eastAsia="宋体" w:cs="宋体"/>
          <w:sz w:val="21"/>
          <w:szCs w:val="21"/>
        </w:rPr>
        <w:t>合同有效期：合同签订之日起至</w:t>
      </w:r>
      <w:r>
        <w:rPr>
          <w:rFonts w:hint="eastAsia" w:ascii="宋体" w:hAnsi="宋体" w:eastAsia="宋体" w:cs="宋体"/>
          <w:sz w:val="21"/>
          <w:szCs w:val="21"/>
          <w:lang w:val="en-US" w:eastAsia="zh-CN"/>
        </w:rPr>
        <w:t>2</w:t>
      </w:r>
      <w:r>
        <w:rPr>
          <w:rFonts w:hint="eastAsia" w:ascii="宋体" w:hAnsi="宋体" w:eastAsia="宋体" w:cs="宋体"/>
          <w:sz w:val="21"/>
          <w:szCs w:val="21"/>
        </w:rPr>
        <w:t>年。</w:t>
      </w:r>
    </w:p>
    <w:p>
      <w:pPr>
        <w:adjustRightInd w:val="0"/>
        <w:snapToGrid w:val="0"/>
        <w:spacing w:line="4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技术标准要求：详见第五章技术规范书。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noWrap w:val="0"/>
            <w:vAlign w:val="top"/>
          </w:tcPr>
          <w:p>
            <w:pPr>
              <w:pStyle w:val="9"/>
              <w:tabs>
                <w:tab w:val="center" w:pos="4153"/>
                <w:tab w:val="right" w:pos="8306"/>
              </w:tabs>
              <w:snapToGrid w:val="0"/>
              <w:ind w:firstLine="480"/>
              <w:rPr>
                <w:rFonts w:hint="eastAsia" w:ascii="宋体" w:hAnsi="宋体" w:eastAsia="宋体" w:cs="宋体"/>
                <w:sz w:val="21"/>
                <w:szCs w:val="21"/>
                <w:highlight w:val="none"/>
                <w:u w:val="single"/>
              </w:rPr>
            </w:pPr>
            <w:r>
              <w:rPr>
                <w:rFonts w:hint="eastAsia" w:ascii="宋体" w:hAnsi="宋体" w:eastAsia="宋体" w:cs="宋体"/>
                <w:kern w:val="0"/>
                <w:sz w:val="21"/>
                <w:szCs w:val="21"/>
                <w:highlight w:val="none"/>
              </w:rPr>
              <w:t>涉及的主要评估产品品类</w:t>
            </w:r>
          </w:p>
        </w:tc>
        <w:tc>
          <w:tcPr>
            <w:tcW w:w="4242" w:type="dxa"/>
            <w:noWrap w:val="0"/>
            <w:vAlign w:val="top"/>
          </w:tcPr>
          <w:p>
            <w:pPr>
              <w:pStyle w:val="9"/>
              <w:tabs>
                <w:tab w:val="center" w:pos="4153"/>
                <w:tab w:val="right" w:pos="8306"/>
              </w:tabs>
              <w:snapToGrid w:val="0"/>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工程施工</w:t>
            </w:r>
          </w:p>
        </w:tc>
      </w:tr>
    </w:tbl>
    <w:p>
      <w:pPr>
        <w:tabs>
          <w:tab w:val="left" w:pos="0"/>
        </w:tabs>
        <w:adjustRightInd w:val="0"/>
        <w:snapToGrid w:val="0"/>
        <w:spacing w:line="4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本项目将按照不定期更新的《中国电信供应商不良行为管理规则》应用供应商不良行为处理结果，供应商不良行为处理结果的应用依据“涉及的主要评估产品品类” 及相关规则确定。无涉及的评估产品品类的，针对具体产品品类的处理结果均不适用，仅适用针对供应商的处理结果。请务必登录中国电信阳光采购网</w:t>
      </w:r>
    </w:p>
    <w:p>
      <w:pPr>
        <w:tabs>
          <w:tab w:val="left" w:pos="0"/>
        </w:tabs>
        <w:adjustRightInd w:val="0"/>
        <w:snapToGrid w:val="0"/>
        <w:spacing w:line="4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（https://caigou.chinatelecom.com.cn/ctsc-portal/ctscPortal）后在“通知-系统公告”模块查阅《中国电信供应商不良行为管理规则》。</w:t>
      </w:r>
    </w:p>
    <w:p>
      <w:pPr>
        <w:pStyle w:val="8"/>
        <w:numPr>
          <w:ilvl w:val="0"/>
          <w:numId w:val="0"/>
        </w:numPr>
        <w:adjustRightInd w:val="0"/>
        <w:snapToGrid w:val="0"/>
        <w:spacing w:line="440" w:lineRule="exact"/>
        <w:ind w:firstLine="420" w:firstLineChars="200"/>
        <w:rPr>
          <w:rFonts w:hint="eastAsia"/>
          <w:szCs w:val="21"/>
        </w:rPr>
      </w:pPr>
      <w:r>
        <w:rPr>
          <w:rFonts w:hint="eastAsia" w:ascii="宋体" w:hAnsi="宋体" w:eastAsia="宋体" w:cs="宋体"/>
          <w:color w:val="auto"/>
          <w:sz w:val="21"/>
          <w:szCs w:val="21"/>
          <w:highlight w:val="none"/>
        </w:rPr>
        <w:t>1.3</w:t>
      </w:r>
      <w:r>
        <w:rPr>
          <w:rFonts w:hint="eastAsia" w:ascii="宋体" w:hAnsi="宋体"/>
          <w:szCs w:val="21"/>
        </w:rPr>
        <w:t>本项目划分分包。</w:t>
      </w:r>
      <w:r>
        <w:rPr>
          <w:rFonts w:hint="eastAsia"/>
          <w:szCs w:val="21"/>
        </w:rPr>
        <w:t>各</w:t>
      </w:r>
      <w:r>
        <w:rPr>
          <w:rFonts w:hint="eastAsia" w:ascii="宋体" w:hAnsi="宋体"/>
          <w:szCs w:val="21"/>
        </w:rPr>
        <w:t>分包</w:t>
      </w:r>
      <w:r>
        <w:rPr>
          <w:rFonts w:hint="eastAsia"/>
          <w:szCs w:val="21"/>
        </w:rPr>
        <w:t>中选人数量</w:t>
      </w:r>
      <w:r>
        <w:rPr>
          <w:rFonts w:hint="eastAsia"/>
          <w:szCs w:val="21"/>
          <w:lang w:eastAsia="zh-CN"/>
        </w:rPr>
        <w:t>、</w:t>
      </w:r>
      <w:r>
        <w:rPr>
          <w:rFonts w:hint="eastAsia"/>
          <w:szCs w:val="21"/>
        </w:rPr>
        <w:t>各中选人对应的份额</w:t>
      </w:r>
      <w:r>
        <w:rPr>
          <w:rFonts w:hint="eastAsia"/>
          <w:szCs w:val="21"/>
          <w:lang w:val="en-US" w:eastAsia="zh-CN"/>
        </w:rPr>
        <w:t>及</w:t>
      </w:r>
      <w:r>
        <w:rPr>
          <w:rFonts w:hint="eastAsia"/>
          <w:szCs w:val="21"/>
        </w:rPr>
        <w:t>实施地域具体如下：</w:t>
      </w:r>
    </w:p>
    <w:tbl>
      <w:tblPr>
        <w:tblStyle w:val="4"/>
        <w:tblW w:w="396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571"/>
        <w:gridCol w:w="3587"/>
        <w:gridCol w:w="1103"/>
        <w:gridCol w:w="1280"/>
        <w:gridCol w:w="19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424" w:type="pct"/>
            <w:vMerge w:val="restart"/>
            <w:shd w:val="clear" w:color="auto" w:fill="FFFFFF"/>
            <w:noWrap/>
            <w:vAlign w:val="center"/>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分包</w:t>
            </w:r>
          </w:p>
        </w:tc>
        <w:tc>
          <w:tcPr>
            <w:tcW w:w="2359" w:type="pct"/>
            <w:vMerge w:val="restart"/>
            <w:shd w:val="clear" w:color="auto" w:fill="FFFFFF"/>
            <w:noWrap/>
            <w:vAlign w:val="center"/>
          </w:tcPr>
          <w:p>
            <w:pPr>
              <w:widowControl/>
              <w:jc w:val="center"/>
              <w:rPr>
                <w:rFonts w:ascii="宋体" w:hAnsi="宋体" w:cs="宋体"/>
                <w:bCs/>
                <w:color w:val="000000"/>
                <w:kern w:val="0"/>
                <w:sz w:val="21"/>
                <w:szCs w:val="21"/>
              </w:rPr>
            </w:pPr>
            <w:r>
              <w:rPr>
                <w:rFonts w:hint="eastAsia"/>
                <w:sz w:val="21"/>
                <w:szCs w:val="21"/>
              </w:rPr>
              <w:t>实施地域</w:t>
            </w:r>
          </w:p>
        </w:tc>
        <w:tc>
          <w:tcPr>
            <w:tcW w:w="942" w:type="pct"/>
            <w:vMerge w:val="restart"/>
            <w:shd w:val="clear" w:color="auto" w:fill="FFFFFF"/>
            <w:noWrap/>
            <w:vAlign w:val="center"/>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中选人数量</w:t>
            </w:r>
          </w:p>
        </w:tc>
        <w:tc>
          <w:tcPr>
            <w:tcW w:w="613" w:type="pct"/>
            <w:vMerge w:val="restart"/>
            <w:shd w:val="clear" w:color="auto" w:fill="FFFFFF"/>
            <w:noWrap/>
            <w:vAlign w:val="center"/>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中选份额比例</w:t>
            </w:r>
          </w:p>
        </w:tc>
        <w:tc>
          <w:tcPr>
            <w:tcW w:w="659" w:type="pct"/>
            <w:vMerge w:val="restart"/>
            <w:shd w:val="clear" w:color="auto" w:fill="FFFFFF"/>
            <w:noWrap/>
            <w:vAlign w:val="center"/>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中选份额</w:t>
            </w:r>
            <w:r>
              <w:rPr>
                <w:rFonts w:hint="eastAsia"/>
                <w:sz w:val="21"/>
                <w:szCs w:val="21"/>
              </w:rPr>
              <w:t>(万元</w:t>
            </w:r>
            <w:r>
              <w:rPr>
                <w:rFonts w:hint="eastAsia"/>
                <w:sz w:val="21"/>
                <w:szCs w:val="21"/>
                <w:lang w:val="en-US" w:eastAsia="zh-CN"/>
              </w:rPr>
              <w:t>/不含税</w:t>
            </w:r>
            <w:r>
              <w:rPr>
                <w:rFonts w:hint="eastAsia"/>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15" w:hRule="atLeast"/>
        </w:trPr>
        <w:tc>
          <w:tcPr>
            <w:tcW w:w="424" w:type="pct"/>
            <w:vMerge w:val="continue"/>
            <w:shd w:val="clear" w:color="auto" w:fill="FFFFFF"/>
            <w:noWrap/>
            <w:vAlign w:val="center"/>
          </w:tcPr>
          <w:p>
            <w:pPr>
              <w:widowControl/>
              <w:jc w:val="center"/>
              <w:rPr>
                <w:rFonts w:ascii="宋体" w:hAnsi="宋体" w:cs="宋体"/>
                <w:bCs/>
                <w:color w:val="000000"/>
                <w:kern w:val="0"/>
                <w:sz w:val="21"/>
                <w:szCs w:val="21"/>
              </w:rPr>
            </w:pPr>
          </w:p>
        </w:tc>
        <w:tc>
          <w:tcPr>
            <w:tcW w:w="2359" w:type="pct"/>
            <w:vMerge w:val="continue"/>
            <w:shd w:val="clear" w:color="auto" w:fill="FFFFFF"/>
            <w:noWrap/>
            <w:vAlign w:val="center"/>
          </w:tcPr>
          <w:p>
            <w:pPr>
              <w:widowControl/>
              <w:jc w:val="center"/>
              <w:rPr>
                <w:sz w:val="21"/>
                <w:szCs w:val="21"/>
              </w:rPr>
            </w:pPr>
          </w:p>
        </w:tc>
        <w:tc>
          <w:tcPr>
            <w:tcW w:w="942" w:type="pct"/>
            <w:vMerge w:val="continue"/>
            <w:shd w:val="clear" w:color="auto" w:fill="FFFFFF"/>
            <w:noWrap/>
            <w:vAlign w:val="center"/>
          </w:tcPr>
          <w:p>
            <w:pPr>
              <w:widowControl/>
              <w:jc w:val="center"/>
              <w:rPr>
                <w:rFonts w:ascii="宋体" w:hAnsi="宋体" w:cs="宋体"/>
                <w:bCs/>
                <w:color w:val="000000"/>
                <w:kern w:val="0"/>
                <w:sz w:val="21"/>
                <w:szCs w:val="21"/>
              </w:rPr>
            </w:pPr>
          </w:p>
        </w:tc>
        <w:tc>
          <w:tcPr>
            <w:tcW w:w="613" w:type="pct"/>
            <w:vMerge w:val="continue"/>
            <w:shd w:val="clear" w:color="auto" w:fill="FFFFFF"/>
            <w:noWrap/>
            <w:vAlign w:val="center"/>
          </w:tcPr>
          <w:p>
            <w:pPr>
              <w:widowControl/>
              <w:jc w:val="center"/>
              <w:rPr>
                <w:rFonts w:ascii="宋体" w:hAnsi="宋体" w:cs="宋体"/>
                <w:bCs/>
                <w:color w:val="000000"/>
                <w:kern w:val="0"/>
                <w:sz w:val="21"/>
                <w:szCs w:val="21"/>
              </w:rPr>
            </w:pPr>
          </w:p>
        </w:tc>
        <w:tc>
          <w:tcPr>
            <w:tcW w:w="659" w:type="pct"/>
            <w:vMerge w:val="continue"/>
            <w:shd w:val="clear" w:color="auto" w:fill="FFFFFF"/>
            <w:noWrap/>
            <w:vAlign w:val="center"/>
          </w:tcPr>
          <w:p>
            <w:pPr>
              <w:widowControl/>
              <w:jc w:val="center"/>
              <w:rPr>
                <w:rFonts w:ascii="宋体" w:hAnsi="宋体" w:cs="宋体"/>
                <w:bCs/>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424" w:type="pct"/>
            <w:shd w:val="clear" w:color="auto" w:fill="FFFFFF"/>
            <w:noWrap/>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一</w:t>
            </w:r>
          </w:p>
        </w:tc>
        <w:tc>
          <w:tcPr>
            <w:tcW w:w="2359" w:type="pct"/>
            <w:shd w:val="clear" w:color="auto" w:fill="FFFFFF"/>
            <w:noWrap/>
            <w:vAlign w:val="center"/>
          </w:tcPr>
          <w:p>
            <w:pPr>
              <w:widowControl/>
              <w:jc w:val="center"/>
              <w:rPr>
                <w:rFonts w:ascii="宋体" w:hAnsi="宋体" w:cs="宋体"/>
                <w:b/>
                <w:bCs/>
                <w:color w:val="000000"/>
                <w:kern w:val="0"/>
                <w:sz w:val="21"/>
                <w:szCs w:val="21"/>
              </w:rPr>
            </w:pPr>
            <w:r>
              <w:rPr>
                <w:rFonts w:hint="eastAsia" w:cs="宋体" w:asciiTheme="minorEastAsia" w:hAnsiTheme="minorEastAsia"/>
                <w:color w:val="000000"/>
                <w:kern w:val="0"/>
                <w:sz w:val="21"/>
                <w:szCs w:val="21"/>
              </w:rPr>
              <w:t>蕉城区、东侨区、福安市、寿宁县、柘荣县</w:t>
            </w:r>
          </w:p>
        </w:tc>
        <w:tc>
          <w:tcPr>
            <w:tcW w:w="942" w:type="pct"/>
            <w:shd w:val="clear" w:color="auto" w:fill="FFFFFF"/>
            <w:noWrap/>
            <w:vAlign w:val="center"/>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1</w:t>
            </w:r>
          </w:p>
        </w:tc>
        <w:tc>
          <w:tcPr>
            <w:tcW w:w="613" w:type="pct"/>
            <w:shd w:val="clear" w:color="auto" w:fill="FFFFFF"/>
            <w:noWrap/>
            <w:vAlign w:val="center"/>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100%</w:t>
            </w:r>
          </w:p>
        </w:tc>
        <w:tc>
          <w:tcPr>
            <w:tcW w:w="659" w:type="pct"/>
            <w:shd w:val="clear" w:color="auto" w:fill="FFFFFF"/>
            <w:noWrap/>
            <w:vAlign w:val="center"/>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117.6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424" w:type="pct"/>
            <w:shd w:val="clear" w:color="auto" w:fill="FFFFFF"/>
            <w:noWrap/>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二</w:t>
            </w:r>
          </w:p>
        </w:tc>
        <w:tc>
          <w:tcPr>
            <w:tcW w:w="2359" w:type="pct"/>
            <w:shd w:val="clear" w:color="auto" w:fill="FFFFFF"/>
            <w:noWrap/>
            <w:vAlign w:val="center"/>
          </w:tcPr>
          <w:p>
            <w:pPr>
              <w:rPr>
                <w:rFonts w:ascii="宋体" w:hAnsi="宋体" w:cs="宋体"/>
                <w:b/>
                <w:bCs/>
                <w:color w:val="000000"/>
                <w:kern w:val="0"/>
                <w:sz w:val="21"/>
                <w:szCs w:val="21"/>
              </w:rPr>
            </w:pPr>
            <w:r>
              <w:rPr>
                <w:rFonts w:hint="eastAsia" w:cs="宋体" w:asciiTheme="minorEastAsia" w:hAnsiTheme="minorEastAsia"/>
                <w:color w:val="000000"/>
                <w:kern w:val="0"/>
                <w:sz w:val="21"/>
                <w:szCs w:val="21"/>
              </w:rPr>
              <w:t>福鼎市、周宁县、霞浦县、古田县、屏南县</w:t>
            </w:r>
          </w:p>
        </w:tc>
        <w:tc>
          <w:tcPr>
            <w:tcW w:w="942" w:type="pct"/>
            <w:shd w:val="clear" w:color="auto" w:fill="FFFFFF"/>
            <w:noWrap/>
            <w:vAlign w:val="center"/>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1</w:t>
            </w:r>
          </w:p>
        </w:tc>
        <w:tc>
          <w:tcPr>
            <w:tcW w:w="613" w:type="pct"/>
            <w:shd w:val="clear" w:color="auto" w:fill="FFFFFF"/>
            <w:noWrap/>
            <w:vAlign w:val="center"/>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100%</w:t>
            </w:r>
          </w:p>
        </w:tc>
        <w:tc>
          <w:tcPr>
            <w:tcW w:w="659" w:type="pct"/>
            <w:shd w:val="clear" w:color="auto" w:fill="FFFFFF"/>
            <w:noWrap/>
            <w:vAlign w:val="center"/>
          </w:tcPr>
          <w:p>
            <w:pPr>
              <w:widowControl/>
              <w:jc w:val="center"/>
              <w:rPr>
                <w:rFonts w:ascii="宋体" w:hAnsi="宋体" w:cs="宋体"/>
                <w:bCs/>
                <w:color w:val="000000"/>
                <w:kern w:val="0"/>
                <w:sz w:val="21"/>
                <w:szCs w:val="21"/>
              </w:rPr>
            </w:pPr>
            <w:r>
              <w:rPr>
                <w:rFonts w:hint="eastAsia" w:ascii="宋体" w:hAnsi="宋体" w:cs="宋体"/>
                <w:bCs/>
                <w:color w:val="000000"/>
                <w:kern w:val="0"/>
                <w:sz w:val="21"/>
                <w:szCs w:val="21"/>
              </w:rPr>
              <w:t>117.6</w:t>
            </w:r>
          </w:p>
        </w:tc>
      </w:tr>
    </w:tbl>
    <w:p>
      <w:pPr>
        <w:pStyle w:val="8"/>
        <w:numPr>
          <w:ilvl w:val="0"/>
          <w:numId w:val="0"/>
        </w:numPr>
        <w:adjustRightInd w:val="0"/>
        <w:snapToGrid w:val="0"/>
        <w:spacing w:line="440" w:lineRule="exact"/>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比选人明确中选人份额（不含税）=</w:t>
      </w:r>
      <w:r>
        <w:rPr>
          <w:rFonts w:hint="eastAsia" w:ascii="宋体" w:hAnsi="宋体" w:eastAsia="宋体" w:cs="宋体"/>
          <w:color w:val="auto"/>
          <w:sz w:val="21"/>
          <w:szCs w:val="21"/>
          <w:highlight w:val="none"/>
          <w:lang w:val="en-US" w:eastAsia="zh-CN"/>
        </w:rPr>
        <w:t>预算金额（</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p>
    <w:p>
      <w:pPr>
        <w:pStyle w:val="8"/>
        <w:numPr>
          <w:ilvl w:val="0"/>
          <w:numId w:val="0"/>
        </w:numPr>
        <w:adjustRightInd w:val="0"/>
        <w:snapToGrid w:val="0"/>
        <w:spacing w:line="440" w:lineRule="exact"/>
        <w:ind w:firstLine="420" w:firstLineChars="200"/>
        <w:rPr>
          <w:rFonts w:hint="eastAsia" w:ascii="宋体" w:hAnsi="宋体" w:cs="宋体"/>
          <w:color w:val="auto"/>
          <w:sz w:val="21"/>
          <w:szCs w:val="21"/>
          <w:highlight w:val="none"/>
          <w:lang w:val="en-US" w:eastAsia="zh-CN"/>
        </w:rPr>
      </w:pPr>
      <w:r>
        <w:rPr>
          <w:rFonts w:hint="eastAsia"/>
          <w:szCs w:val="21"/>
        </w:rPr>
        <w:t>注：本项目允许参选人参加所有分包，参选人可就其中一个或两个分包进行参选, 本项目允许参选人同时中选的最多分包数为 1个。</w:t>
      </w:r>
    </w:p>
    <w:p>
      <w:pPr>
        <w:pStyle w:val="8"/>
        <w:numPr>
          <w:ilvl w:val="0"/>
          <w:numId w:val="0"/>
        </w:num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szCs w:val="21"/>
        </w:rPr>
        <w:t>本项目设置最高限价折扣系数，各分包参选人在单价（详见附件一）基础上进行折扣报价，最高限价折扣系数为98%，参选人参选折扣超过最高限价折扣系数的，其参选将被否决。</w:t>
      </w:r>
    </w:p>
    <w:p>
      <w:pPr>
        <w:pStyle w:val="8"/>
        <w:numPr>
          <w:ilvl w:val="0"/>
          <w:numId w:val="0"/>
        </w:numPr>
        <w:adjustRightInd w:val="0"/>
        <w:snapToGrid w:val="0"/>
        <w:spacing w:line="440" w:lineRule="exact"/>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参选人资格要求</w:t>
      </w:r>
      <w:bookmarkEnd w:id="1"/>
      <w:bookmarkEnd w:id="2"/>
      <w:bookmarkEnd w:id="3"/>
    </w:p>
    <w:p>
      <w:pPr>
        <w:pageBreakBefore w:val="0"/>
        <w:kinsoku/>
        <w:overflowPunct/>
        <w:bidi w:val="0"/>
        <w:spacing w:line="360" w:lineRule="auto"/>
        <w:rPr>
          <w:rFonts w:hint="eastAsia" w:ascii="宋体" w:hAnsi="宋体" w:eastAsia="宋体" w:cs="宋体"/>
          <w:b/>
          <w:bCs/>
          <w:color w:val="auto"/>
          <w:szCs w:val="21"/>
          <w:highlight w:val="none"/>
        </w:rPr>
      </w:pPr>
      <w:bookmarkStart w:id="4" w:name="_Toc319394715"/>
      <w:bookmarkStart w:id="5" w:name="_Toc319769474"/>
      <w:bookmarkStart w:id="6" w:name="_Toc184704556"/>
      <w:r>
        <w:rPr>
          <w:rFonts w:hint="eastAsia" w:ascii="宋体" w:hAnsi="宋体" w:eastAsia="宋体" w:cs="宋体"/>
          <w:b/>
          <w:bCs/>
          <w:color w:val="auto"/>
          <w:szCs w:val="21"/>
          <w:highlight w:val="none"/>
        </w:rPr>
        <w:t>2.1参选人基本资格要求</w:t>
      </w:r>
    </w:p>
    <w:p>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bookmarkStart w:id="7" w:name="_Hlk530747078"/>
      <w:r>
        <w:rPr>
          <w:rFonts w:hint="eastAsia" w:ascii="宋体" w:hAnsi="宋体" w:eastAsia="宋体" w:cs="宋体"/>
          <w:color w:val="auto"/>
          <w:sz w:val="21"/>
          <w:szCs w:val="21"/>
          <w:highlight w:val="none"/>
        </w:rPr>
        <w:t>参选人应为中华人民共和国境内法律上和财务上独立的法人，合法运作并独立于比选人和比选代理机构。</w:t>
      </w:r>
      <w:bookmarkEnd w:id="7"/>
    </w:p>
    <w:p>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2.1.2本次比选不接受联合体参选。</w:t>
      </w:r>
    </w:p>
    <w:p>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2.1.3参选人的法定代表人或负责人为同一人或者存在控股、管理关系的不同参选人，不得参加同一分包参选或者未划分分包的同一比选项目参选。</w:t>
      </w:r>
    </w:p>
    <w:p>
      <w:pPr>
        <w:spacing w:line="440" w:lineRule="exact"/>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参选人具备建设行政主管部门核发的有效的</w:t>
      </w:r>
      <w:r>
        <w:rPr>
          <w:rFonts w:hint="eastAsia" w:cs="宋体" w:asciiTheme="minorEastAsia" w:hAnsiTheme="minorEastAsia"/>
          <w:color w:val="000000"/>
          <w:kern w:val="0"/>
          <w:sz w:val="21"/>
          <w:szCs w:val="21"/>
        </w:rPr>
        <w:t>建筑工程施工总承包三级</w:t>
      </w:r>
      <w:r>
        <w:rPr>
          <w:rFonts w:hint="eastAsia" w:ascii="宋体" w:hAnsi="宋体" w:eastAsia="宋体" w:cs="宋体"/>
          <w:color w:val="auto"/>
          <w:sz w:val="21"/>
          <w:szCs w:val="21"/>
          <w:highlight w:val="none"/>
        </w:rPr>
        <w:t>及以上资质。（如参选人已按国家发布的《建设工程企业资质管理制度改革方案》进行换证，则按照相应政策调整文件认定企业资质）</w:t>
      </w:r>
      <w:r>
        <w:rPr>
          <w:rFonts w:hint="eastAsia" w:ascii="宋体" w:hAnsi="宋体" w:eastAsia="宋体" w:cs="宋体"/>
          <w:color w:val="auto"/>
          <w:sz w:val="21"/>
          <w:szCs w:val="21"/>
          <w:highlight w:val="none"/>
          <w:lang w:eastAsia="zh-CN"/>
        </w:rPr>
        <w:t>。</w:t>
      </w:r>
    </w:p>
    <w:p>
      <w:pPr>
        <w:spacing w:line="44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参选人具备建设行政主管部门核发的有效的安全生产许可证。</w:t>
      </w:r>
    </w:p>
    <w:p>
      <w:pPr>
        <w:spacing w:line="440" w:lineRule="exact"/>
        <w:ind w:firstLine="424" w:firstLineChars="20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2.1.6本项目不允许转包、分包。</w:t>
      </w:r>
    </w:p>
    <w:p>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2.2参选人不得存在下列情形之一</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（1）为比选人不具有独立法人资格的附属机构（单位）；</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（2）被依法暂停或取消参选资格的；</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（3）被责令停产停业、暂扣或者吊销许可证、暂扣或者吊销执照； </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（4）进入清算程序，或被宣告破产，或其他丧失履约能力的情形； </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（5）在最近三年内（自2020年起，月日以参选递交截止时间的月日为准）被相关行业主管部门或司法机关认定有骗取中选、严重违约、重大工程质量或者安全问题的；</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（6）在最近五年内（自2018年起，月日以参选递交截止时间的月日为准）被判处单位行贿罪，且行贿行为与采购活动相关的（以“中国裁判文书网”的生效判决为准）；</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（7）在最近五年内（自2018年起，月日以参选递交截止时间的月日为准）被判处合同诈骗罪的（以“中国裁判文书网”的生效判决为准）；</w:t>
      </w:r>
    </w:p>
    <w:p>
      <w:pPr>
        <w:pageBreakBefore w:val="0"/>
        <w:kinsoku/>
        <w:overflowPunct/>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（8）被最高人民法院认定为失信被执行人的(以“信用中国”网站（www.creditchina.gov.cn）或各级信用信息共享平台公布的失信被执行人名单为准)，已执行完毕或不再执行的除外；</w:t>
      </w:r>
    </w:p>
    <w:p>
      <w:pPr>
        <w:numPr>
          <w:ilvl w:val="0"/>
          <w:numId w:val="0"/>
        </w:numPr>
        <w:tabs>
          <w:tab w:val="left" w:pos="0"/>
          <w:tab w:val="left" w:pos="993"/>
          <w:tab w:val="left" w:pos="2564"/>
        </w:tabs>
        <w:spacing w:line="440" w:lineRule="exact"/>
        <w:ind w:left="0" w:leftChars="0" w:firstLine="420" w:firstLineChars="200"/>
        <w:rPr>
          <w:rFonts w:hint="eastAsia" w:ascii="宋体" w:hAnsi="宋体" w:eastAsia="宋体" w:cs="宋体"/>
          <w:szCs w:val="21"/>
        </w:rPr>
      </w:pPr>
      <w:r>
        <w:rPr>
          <w:rFonts w:hint="eastAsia" w:ascii="宋体" w:hAnsi="宋体" w:eastAsia="宋体" w:cs="宋体"/>
          <w:lang w:eastAsia="zh-CN"/>
        </w:rPr>
        <w:t>（</w:t>
      </w:r>
      <w:r>
        <w:rPr>
          <w:rFonts w:hint="eastAsia" w:ascii="宋体" w:hAnsi="宋体" w:eastAsia="宋体" w:cs="宋体"/>
          <w:lang w:val="en-US" w:eastAsia="zh-CN"/>
        </w:rPr>
        <w:t>9</w:t>
      </w:r>
      <w:r>
        <w:rPr>
          <w:rFonts w:hint="eastAsia" w:ascii="宋体" w:hAnsi="宋体" w:eastAsia="宋体" w:cs="宋体"/>
          <w:lang w:eastAsia="zh-CN"/>
        </w:rPr>
        <w:t>）</w:t>
      </w:r>
      <w:r>
        <w:rPr>
          <w:rFonts w:hint="eastAsia" w:ascii="宋体" w:hAnsi="宋体" w:eastAsia="宋体" w:cs="宋体"/>
          <w:szCs w:val="21"/>
        </w:rPr>
        <w:t>为本比选项目提供过设计、编制技术规范和其他文件的咨询服务；</w:t>
      </w:r>
    </w:p>
    <w:p>
      <w:pPr>
        <w:numPr>
          <w:ilvl w:val="0"/>
          <w:numId w:val="0"/>
        </w:numPr>
        <w:tabs>
          <w:tab w:val="left" w:pos="0"/>
          <w:tab w:val="left" w:pos="993"/>
          <w:tab w:val="left" w:pos="2564"/>
        </w:tabs>
        <w:spacing w:line="440" w:lineRule="exact"/>
        <w:ind w:left="0" w:leftChars="0"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10</w:t>
      </w:r>
      <w:r>
        <w:rPr>
          <w:rFonts w:hint="eastAsia" w:ascii="宋体" w:hAnsi="宋体" w:eastAsia="宋体" w:cs="宋体"/>
          <w:szCs w:val="21"/>
          <w:lang w:eastAsia="zh-CN"/>
        </w:rPr>
        <w:t>）</w:t>
      </w:r>
      <w:r>
        <w:rPr>
          <w:rFonts w:hint="eastAsia" w:ascii="宋体" w:hAnsi="宋体" w:eastAsia="宋体" w:cs="宋体"/>
          <w:szCs w:val="21"/>
        </w:rPr>
        <w:t>为本工程项目的相关监理人，或者与本工程项目的相关监理人存在隶属关系或者其他利害关系；</w:t>
      </w:r>
    </w:p>
    <w:p>
      <w:pPr>
        <w:numPr>
          <w:ilvl w:val="0"/>
          <w:numId w:val="0"/>
        </w:numPr>
        <w:tabs>
          <w:tab w:val="left" w:pos="0"/>
          <w:tab w:val="left" w:pos="993"/>
          <w:tab w:val="left" w:pos="2564"/>
        </w:tabs>
        <w:spacing w:line="440" w:lineRule="exact"/>
        <w:ind w:left="0" w:leftChars="0"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11</w:t>
      </w:r>
      <w:r>
        <w:rPr>
          <w:rFonts w:hint="eastAsia" w:ascii="宋体" w:hAnsi="宋体" w:eastAsia="宋体" w:cs="宋体"/>
          <w:szCs w:val="21"/>
          <w:lang w:eastAsia="zh-CN"/>
        </w:rPr>
        <w:t>）</w:t>
      </w:r>
      <w:r>
        <w:rPr>
          <w:rFonts w:hint="eastAsia" w:ascii="宋体" w:hAnsi="宋体" w:eastAsia="宋体" w:cs="宋体"/>
          <w:szCs w:val="21"/>
        </w:rPr>
        <w:t>为本比选项目的代建人；</w:t>
      </w:r>
    </w:p>
    <w:p>
      <w:pPr>
        <w:numPr>
          <w:ilvl w:val="0"/>
          <w:numId w:val="0"/>
        </w:numPr>
        <w:tabs>
          <w:tab w:val="left" w:pos="0"/>
          <w:tab w:val="left" w:pos="993"/>
          <w:tab w:val="left" w:pos="2564"/>
        </w:tabs>
        <w:spacing w:line="440" w:lineRule="exact"/>
        <w:ind w:left="0" w:leftChars="0"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12</w:t>
      </w:r>
      <w:r>
        <w:rPr>
          <w:rFonts w:hint="eastAsia" w:ascii="宋体" w:hAnsi="宋体" w:eastAsia="宋体" w:cs="宋体"/>
          <w:szCs w:val="21"/>
          <w:lang w:eastAsia="zh-CN"/>
        </w:rPr>
        <w:t>）</w:t>
      </w:r>
      <w:r>
        <w:rPr>
          <w:rFonts w:hint="eastAsia" w:ascii="宋体" w:hAnsi="宋体" w:eastAsia="宋体" w:cs="宋体"/>
          <w:szCs w:val="21"/>
        </w:rPr>
        <w:t>为本比选项目的比选代理机构；</w:t>
      </w:r>
    </w:p>
    <w:p>
      <w:pPr>
        <w:numPr>
          <w:ilvl w:val="0"/>
          <w:numId w:val="0"/>
        </w:numPr>
        <w:tabs>
          <w:tab w:val="left" w:pos="0"/>
          <w:tab w:val="left" w:pos="993"/>
          <w:tab w:val="left" w:pos="2564"/>
        </w:tabs>
        <w:spacing w:line="440" w:lineRule="exact"/>
        <w:ind w:left="0" w:leftChars="0"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13</w:t>
      </w:r>
      <w:r>
        <w:rPr>
          <w:rFonts w:hint="eastAsia" w:ascii="宋体" w:hAnsi="宋体" w:eastAsia="宋体" w:cs="宋体"/>
          <w:szCs w:val="21"/>
          <w:lang w:eastAsia="zh-CN"/>
        </w:rPr>
        <w:t>）</w:t>
      </w:r>
      <w:r>
        <w:rPr>
          <w:rFonts w:hint="eastAsia" w:ascii="宋体" w:hAnsi="宋体" w:eastAsia="宋体" w:cs="宋体"/>
          <w:szCs w:val="21"/>
        </w:rPr>
        <w:t>与本比选项目的监理人或代建人或比选代理机构同为一个法定代表人；</w:t>
      </w:r>
    </w:p>
    <w:p>
      <w:pPr>
        <w:numPr>
          <w:ilvl w:val="0"/>
          <w:numId w:val="0"/>
        </w:numPr>
        <w:tabs>
          <w:tab w:val="left" w:pos="0"/>
          <w:tab w:val="left" w:pos="993"/>
          <w:tab w:val="left" w:pos="2564"/>
        </w:tabs>
        <w:spacing w:line="440" w:lineRule="exact"/>
        <w:ind w:left="0" w:leftChars="0"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14</w:t>
      </w:r>
      <w:r>
        <w:rPr>
          <w:rFonts w:hint="eastAsia" w:ascii="宋体" w:hAnsi="宋体" w:eastAsia="宋体" w:cs="宋体"/>
          <w:szCs w:val="21"/>
          <w:lang w:eastAsia="zh-CN"/>
        </w:rPr>
        <w:t>）</w:t>
      </w:r>
      <w:r>
        <w:rPr>
          <w:rFonts w:hint="eastAsia" w:ascii="宋体" w:hAnsi="宋体" w:eastAsia="宋体" w:cs="宋体"/>
          <w:szCs w:val="21"/>
        </w:rPr>
        <w:t>与本比选项目的监理人或代建人或比选代理机构存在控股或参股关系；</w:t>
      </w:r>
    </w:p>
    <w:p>
      <w:pPr>
        <w:numPr>
          <w:ilvl w:val="0"/>
          <w:numId w:val="0"/>
        </w:numPr>
        <w:tabs>
          <w:tab w:val="left" w:pos="0"/>
          <w:tab w:val="left" w:pos="993"/>
          <w:tab w:val="left" w:pos="2564"/>
        </w:tabs>
        <w:spacing w:line="440" w:lineRule="exact"/>
        <w:ind w:left="0" w:leftChars="0"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15</w:t>
      </w:r>
      <w:r>
        <w:rPr>
          <w:rFonts w:hint="eastAsia" w:ascii="宋体" w:hAnsi="宋体" w:eastAsia="宋体" w:cs="宋体"/>
          <w:szCs w:val="21"/>
          <w:lang w:eastAsia="zh-CN"/>
        </w:rPr>
        <w:t>）</w:t>
      </w:r>
      <w:r>
        <w:rPr>
          <w:rFonts w:hint="eastAsia" w:ascii="宋体" w:hAnsi="宋体" w:eastAsia="宋体" w:cs="宋体"/>
          <w:szCs w:val="21"/>
        </w:rPr>
        <w:t>被工商行政管理机关在国家企业信用信息公示系统中列入严重违法失信企业名单的；</w:t>
      </w:r>
    </w:p>
    <w:p>
      <w:pPr>
        <w:numPr>
          <w:ilvl w:val="0"/>
          <w:numId w:val="0"/>
        </w:numPr>
        <w:tabs>
          <w:tab w:val="left" w:pos="0"/>
          <w:tab w:val="left" w:pos="993"/>
          <w:tab w:val="left" w:pos="2564"/>
        </w:tabs>
        <w:spacing w:line="440" w:lineRule="exact"/>
        <w:ind w:left="0" w:leftChars="0" w:firstLine="420" w:firstLineChars="200"/>
        <w:rPr>
          <w:rFonts w:hint="eastAsia" w:ascii="宋体" w:hAnsi="宋体" w:eastAsia="宋体" w:cs="宋体"/>
        </w:rPr>
      </w:pPr>
      <w:r>
        <w:rPr>
          <w:rFonts w:hint="eastAsia" w:ascii="宋体" w:hAnsi="宋体" w:eastAsia="宋体" w:cs="宋体"/>
          <w:szCs w:val="21"/>
          <w:lang w:eastAsia="zh-CN"/>
        </w:rPr>
        <w:t>（</w:t>
      </w:r>
      <w:r>
        <w:rPr>
          <w:rFonts w:hint="eastAsia" w:ascii="宋体" w:hAnsi="宋体" w:eastAsia="宋体" w:cs="宋体"/>
          <w:szCs w:val="21"/>
          <w:lang w:val="en-US" w:eastAsia="zh-CN"/>
        </w:rPr>
        <w:t>16</w:t>
      </w:r>
      <w:r>
        <w:rPr>
          <w:rFonts w:hint="eastAsia" w:ascii="宋体" w:hAnsi="宋体" w:eastAsia="宋体" w:cs="宋体"/>
          <w:szCs w:val="21"/>
          <w:lang w:eastAsia="zh-CN"/>
        </w:rPr>
        <w:t>）其他按照《中国电信供应商不良行为管理规则》及处理结果，应对参选人及其参选</w:t>
      </w:r>
      <w:r>
        <w:rPr>
          <w:rFonts w:hint="eastAsia" w:ascii="宋体" w:hAnsi="宋体" w:eastAsia="宋体" w:cs="宋体"/>
        </w:rPr>
        <w:t>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pPr>
        <w:numPr>
          <w:ilvl w:val="0"/>
          <w:numId w:val="0"/>
        </w:numPr>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lang w:eastAsia="zh-CN"/>
        </w:rPr>
        <w:t>（</w:t>
      </w:r>
      <w:r>
        <w:rPr>
          <w:rFonts w:hint="eastAsia" w:ascii="宋体" w:hAnsi="宋体" w:eastAsia="宋体" w:cs="宋体"/>
          <w:szCs w:val="21"/>
          <w:lang w:val="en-US" w:eastAsia="zh-CN"/>
        </w:rPr>
        <w:t>17</w:t>
      </w:r>
      <w:r>
        <w:rPr>
          <w:rFonts w:hint="eastAsia" w:ascii="宋体" w:hAnsi="宋体" w:eastAsia="宋体" w:cs="宋体"/>
          <w:szCs w:val="21"/>
          <w:lang w:eastAsia="zh-CN"/>
        </w:rPr>
        <w:t>）</w:t>
      </w:r>
      <w:r>
        <w:rPr>
          <w:rFonts w:hint="eastAsia" w:ascii="宋体" w:hAnsi="宋体" w:eastAsia="宋体" w:cs="宋体"/>
          <w:szCs w:val="21"/>
        </w:rPr>
        <w:t>法律法规、比选文件限定的其他情形。</w:t>
      </w:r>
    </w:p>
    <w:p>
      <w:pPr>
        <w:pStyle w:val="8"/>
        <w:numPr>
          <w:ilvl w:val="0"/>
          <w:numId w:val="0"/>
        </w:numPr>
        <w:adjustRightInd w:val="0"/>
        <w:snapToGrid w:val="0"/>
        <w:spacing w:line="440" w:lineRule="exact"/>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资格审查方法</w:t>
      </w:r>
      <w:bookmarkEnd w:id="4"/>
      <w:bookmarkEnd w:id="5"/>
      <w:bookmarkEnd w:id="6"/>
    </w:p>
    <w:p>
      <w:pPr>
        <w:pStyle w:val="8"/>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本项目将进行资格后审，资格审查标准和内容见比选文件第三章“评选办法”，凡未通过资格后审的参选人，其参选将被否决。</w:t>
      </w:r>
    </w:p>
    <w:p>
      <w:pPr>
        <w:pStyle w:val="8"/>
        <w:numPr>
          <w:ilvl w:val="0"/>
          <w:numId w:val="0"/>
        </w:numPr>
        <w:adjustRightInd w:val="0"/>
        <w:snapToGrid w:val="0"/>
        <w:spacing w:line="440" w:lineRule="exact"/>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比选文件获取</w:t>
      </w:r>
    </w:p>
    <w:p>
      <w:pPr>
        <w:numPr>
          <w:ilvl w:val="0"/>
          <w:numId w:val="0"/>
        </w:numPr>
        <w:spacing w:line="440" w:lineRule="exact"/>
        <w:ind w:firstLine="428" w:firstLineChars="2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lang w:val="en-US" w:eastAsia="zh-CN"/>
        </w:rPr>
        <w:t>4.1</w:t>
      </w:r>
      <w:r>
        <w:rPr>
          <w:rFonts w:hint="eastAsia" w:ascii="宋体" w:hAnsi="宋体" w:eastAsia="宋体" w:cs="宋体"/>
          <w:color w:val="auto"/>
          <w:spacing w:val="2"/>
          <w:szCs w:val="21"/>
          <w:highlight w:val="none"/>
        </w:rPr>
        <w:t>比选文件获取时间：</w:t>
      </w:r>
      <w:r>
        <w:rPr>
          <w:rFonts w:hint="eastAsia" w:ascii="宋体" w:hAnsi="宋体" w:eastAsia="宋体" w:cs="宋体"/>
          <w:color w:val="auto"/>
          <w:szCs w:val="21"/>
          <w:highlight w:val="none"/>
          <w:u w:val="none"/>
        </w:rPr>
        <w:t>202</w:t>
      </w: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20</w:t>
      </w:r>
      <w:r>
        <w:rPr>
          <w:rFonts w:hint="eastAsia" w:ascii="宋体" w:hAnsi="宋体" w:eastAsia="宋体" w:cs="宋体"/>
          <w:color w:val="auto"/>
          <w:szCs w:val="21"/>
          <w:highlight w:val="none"/>
          <w:u w:val="none"/>
        </w:rPr>
        <w:t>日</w:t>
      </w:r>
      <w:r>
        <w:rPr>
          <w:rFonts w:hint="eastAsia" w:ascii="宋体" w:hAnsi="宋体" w:eastAsia="宋体" w:cs="宋体"/>
          <w:color w:val="auto"/>
          <w:szCs w:val="21"/>
          <w:highlight w:val="none"/>
          <w:u w:val="none"/>
          <w:lang w:val="en-US" w:eastAsia="zh-CN"/>
        </w:rPr>
        <w:t>1</w:t>
      </w:r>
      <w:r>
        <w:rPr>
          <w:rFonts w:hint="eastAsia" w:ascii="宋体" w:hAnsi="宋体" w:cs="宋体"/>
          <w:color w:val="auto"/>
          <w:szCs w:val="21"/>
          <w:highlight w:val="none"/>
          <w:u w:val="none"/>
          <w:lang w:val="en-US" w:eastAsia="zh-CN"/>
        </w:rPr>
        <w:t>8</w:t>
      </w:r>
      <w:r>
        <w:rPr>
          <w:rFonts w:hint="eastAsia" w:ascii="宋体" w:hAnsi="宋体" w:eastAsia="宋体" w:cs="宋体"/>
          <w:color w:val="auto"/>
          <w:szCs w:val="21"/>
          <w:highlight w:val="none"/>
          <w:u w:val="none"/>
        </w:rPr>
        <w:t>时</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lang w:val="en-US" w:eastAsia="zh-CN"/>
        </w:rPr>
        <w:t>0</w:t>
      </w:r>
      <w:r>
        <w:rPr>
          <w:rFonts w:hint="eastAsia" w:ascii="宋体" w:hAnsi="宋体" w:eastAsia="宋体" w:cs="宋体"/>
          <w:color w:val="auto"/>
          <w:szCs w:val="21"/>
          <w:highlight w:val="none"/>
          <w:u w:val="none"/>
        </w:rPr>
        <w:t>分至202</w:t>
      </w: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23</w:t>
      </w:r>
      <w:r>
        <w:rPr>
          <w:rFonts w:hint="eastAsia" w:ascii="宋体" w:hAnsi="宋体" w:eastAsia="宋体" w:cs="宋体"/>
          <w:color w:val="auto"/>
          <w:szCs w:val="21"/>
          <w:highlight w:val="none"/>
          <w:u w:val="none"/>
        </w:rPr>
        <w:t>日</w:t>
      </w:r>
      <w:r>
        <w:rPr>
          <w:rFonts w:hint="eastAsia" w:ascii="宋体" w:hAnsi="宋体" w:eastAsia="宋体" w:cs="宋体"/>
          <w:color w:val="auto"/>
          <w:szCs w:val="21"/>
          <w:highlight w:val="none"/>
          <w:u w:val="none"/>
          <w:lang w:val="en-US" w:eastAsia="zh-CN"/>
        </w:rPr>
        <w:t>1</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时</w:t>
      </w:r>
      <w:r>
        <w:rPr>
          <w:rFonts w:hint="eastAsia" w:ascii="宋体" w:hAnsi="宋体" w:eastAsia="宋体" w:cs="宋体"/>
          <w:color w:val="auto"/>
          <w:szCs w:val="21"/>
          <w:highlight w:val="none"/>
          <w:u w:val="none"/>
          <w:lang w:val="en-US" w:eastAsia="zh-CN"/>
        </w:rPr>
        <w:t>00</w:t>
      </w:r>
      <w:r>
        <w:rPr>
          <w:rFonts w:hint="eastAsia" w:ascii="宋体" w:hAnsi="宋体" w:eastAsia="宋体" w:cs="宋体"/>
          <w:color w:val="auto"/>
          <w:szCs w:val="21"/>
          <w:highlight w:val="none"/>
          <w:u w:val="none"/>
        </w:rPr>
        <w:t>分</w:t>
      </w:r>
      <w:r>
        <w:rPr>
          <w:rFonts w:hint="eastAsia" w:ascii="宋体" w:hAnsi="宋体" w:eastAsia="宋体" w:cs="宋体"/>
          <w:color w:val="auto"/>
          <w:highlight w:val="none"/>
          <w:u w:val="none"/>
        </w:rPr>
        <w:t>（北京时间，下同）。</w:t>
      </w:r>
    </w:p>
    <w:p>
      <w:pPr>
        <w:numPr>
          <w:ilvl w:val="0"/>
          <w:numId w:val="0"/>
        </w:numPr>
        <w:spacing w:line="440" w:lineRule="exact"/>
        <w:ind w:firstLine="428" w:firstLineChars="200"/>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lang w:val="en-US" w:eastAsia="zh-CN"/>
        </w:rPr>
        <w:t>4.2</w:t>
      </w:r>
      <w:r>
        <w:rPr>
          <w:rFonts w:hint="eastAsia" w:ascii="宋体" w:hAnsi="宋体" w:eastAsia="宋体" w:cs="宋体"/>
          <w:color w:val="auto"/>
          <w:spacing w:val="2"/>
          <w:szCs w:val="21"/>
          <w:highlight w:val="none"/>
        </w:rPr>
        <w:t>比选文件获取方式：</w:t>
      </w:r>
      <w:r>
        <w:rPr>
          <w:rFonts w:hint="eastAsia" w:ascii="宋体" w:hAnsi="宋体" w:eastAsia="宋体" w:cs="宋体"/>
          <w:color w:val="auto"/>
          <w:szCs w:val="21"/>
          <w:highlight w:val="none"/>
        </w:rPr>
        <w:t>凡有意参与参选的潜在参选人，请按以下步骤顺序进行操作，获取比选文件：</w:t>
      </w:r>
    </w:p>
    <w:p>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4.2.1登录“【中国电信阳光采购网</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https://caigou.chinatelecom.com.cn/ctsc-portal/ctscPortal）】”后，通过“招投标-采购文件领取”模块或通过“电子采购入口”跳转中国电信电子采购系统，进入本项目进行比选文件登记申领，未在系统注册的参选人须先进行注册，注册方法详见本公告“7参选人注册”。</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注意：比选文件以“</w:t>
      </w:r>
      <w:r>
        <w:rPr>
          <w:rFonts w:hint="eastAsia" w:ascii="宋体" w:hAnsi="宋体" w:eastAsia="宋体" w:cs="宋体"/>
          <w:color w:val="auto"/>
          <w:highlight w:val="none"/>
        </w:rPr>
        <w:t>中国电信电子采购系统</w:t>
      </w:r>
      <w:r>
        <w:rPr>
          <w:rFonts w:hint="eastAsia" w:ascii="宋体" w:hAnsi="宋体" w:eastAsia="宋体" w:cs="宋体"/>
          <w:b/>
          <w:bCs/>
          <w:color w:val="auto"/>
          <w:kern w:val="0"/>
          <w:szCs w:val="21"/>
          <w:highlight w:val="none"/>
        </w:rPr>
        <w:t>”登记申领下载的为准，如无法登记申领的，请及时与比选代理机构的项目联系人联系。</w:t>
      </w:r>
    </w:p>
    <w:p>
      <w:pPr>
        <w:numPr>
          <w:ilvl w:val="0"/>
          <w:numId w:val="0"/>
        </w:numPr>
        <w:spacing w:line="440" w:lineRule="exact"/>
        <w:ind w:left="426" w:leftChars="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lang w:val="en-US" w:eastAsia="zh-CN"/>
        </w:rPr>
        <w:t>4.3</w:t>
      </w:r>
      <w:r>
        <w:rPr>
          <w:rFonts w:hint="eastAsia" w:ascii="宋体" w:hAnsi="宋体" w:eastAsia="宋体" w:cs="宋体"/>
          <w:color w:val="auto"/>
          <w:spacing w:val="2"/>
          <w:szCs w:val="21"/>
          <w:highlight w:val="none"/>
        </w:rPr>
        <w:t>比选文件每套售价</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300</w:t>
      </w:r>
      <w:r>
        <w:rPr>
          <w:rFonts w:hint="eastAsia" w:ascii="宋体" w:hAnsi="宋体" w:eastAsia="宋体" w:cs="宋体"/>
          <w:color w:val="auto"/>
          <w:highlight w:val="none"/>
          <w:u w:val="single"/>
        </w:rPr>
        <w:t>】</w:t>
      </w:r>
      <w:r>
        <w:rPr>
          <w:rFonts w:hint="eastAsia" w:ascii="宋体" w:hAnsi="宋体" w:eastAsia="宋体" w:cs="宋体"/>
          <w:color w:val="auto"/>
          <w:spacing w:val="2"/>
          <w:szCs w:val="21"/>
          <w:highlight w:val="none"/>
        </w:rPr>
        <w:t>元人民币，售后不退。</w:t>
      </w:r>
    </w:p>
    <w:p>
      <w:pPr>
        <w:spacing w:line="440" w:lineRule="exact"/>
        <w:ind w:firstLine="422" w:firstLineChars="200"/>
        <w:rPr>
          <w:rFonts w:hint="eastAsia" w:ascii="宋体" w:hAnsi="宋体" w:eastAsia="宋体" w:cs="宋体"/>
          <w:color w:val="auto"/>
          <w:spacing w:val="2"/>
          <w:szCs w:val="21"/>
          <w:highlight w:val="none"/>
        </w:rPr>
      </w:pPr>
      <w:r>
        <w:rPr>
          <w:rFonts w:hint="eastAsia" w:ascii="宋体" w:hAnsi="宋体" w:eastAsia="宋体" w:cs="宋体"/>
          <w:b/>
          <w:bCs/>
          <w:color w:val="auto"/>
          <w:highlight w:val="none"/>
        </w:rPr>
        <w:t>支付要求：</w:t>
      </w:r>
      <w:r>
        <w:rPr>
          <w:rFonts w:hint="eastAsia" w:ascii="宋体" w:hAnsi="宋体" w:eastAsia="宋体" w:cs="宋体"/>
          <w:color w:val="auto"/>
          <w:szCs w:val="21"/>
          <w:highlight w:val="none"/>
        </w:rPr>
        <w:t>【进入电子采购系统，项目报名详情页面，点击支付</w:t>
      </w:r>
      <w:r>
        <w:rPr>
          <w:rFonts w:hint="eastAsia" w:ascii="宋体" w:hAnsi="宋体" w:eastAsia="宋体" w:cs="宋体"/>
          <w:color w:val="auto"/>
          <w:szCs w:val="21"/>
          <w:highlight w:val="yellow"/>
        </w:rPr>
        <w:t>（请务必选择线上支付）</w:t>
      </w:r>
      <w:r>
        <w:rPr>
          <w:rFonts w:hint="eastAsia" w:ascii="宋体" w:hAnsi="宋体" w:eastAsia="宋体" w:cs="宋体"/>
          <w:color w:val="auto"/>
          <w:szCs w:val="21"/>
          <w:highlight w:val="none"/>
        </w:rPr>
        <w:t>，会跳转到相应的线上支付页面。支付完成后，可进入阳光采购网“供应商信息服务菜单”下“查询统计”菜单下“我的付款”查看具体付款明细。支付成功后，即可进行</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文件的登记申领】）</w:t>
      </w:r>
    </w:p>
    <w:p>
      <w:pPr>
        <w:adjustRightInd w:val="0"/>
        <w:snapToGrid w:val="0"/>
        <w:spacing w:line="44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szCs w:val="21"/>
          <w:highlight w:val="none"/>
        </w:rPr>
        <w:t>发票领取：</w:t>
      </w:r>
      <w:r>
        <w:rPr>
          <w:rFonts w:hint="eastAsia" w:ascii="宋体" w:hAnsi="宋体" w:eastAsia="宋体" w:cs="宋体"/>
          <w:color w:val="auto"/>
          <w:szCs w:val="21"/>
          <w:highlight w:val="none"/>
        </w:rPr>
        <w:t>进入</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代理机构电子招投标平台（https://zb.chinaccsscm.cn/）根据提示完成注册，登录提交审核并通过后，点击左侧“财务管理-供应商发票维护”查看并下载发票。 （</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代理机构电子招投标平台注册审核联系商务专员，电话：18060753032）。</w:t>
      </w:r>
    </w:p>
    <w:p>
      <w:pPr>
        <w:numPr>
          <w:ilvl w:val="0"/>
          <w:numId w:val="0"/>
        </w:numPr>
        <w:spacing w:line="440" w:lineRule="exact"/>
        <w:ind w:left="426" w:leftChars="0"/>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lang w:val="en-US" w:eastAsia="zh-CN"/>
        </w:rPr>
        <w:t>4.4</w:t>
      </w:r>
      <w:r>
        <w:rPr>
          <w:rFonts w:hint="eastAsia" w:ascii="宋体" w:hAnsi="宋体" w:eastAsia="宋体" w:cs="宋体"/>
          <w:color w:val="auto"/>
          <w:szCs w:val="21"/>
          <w:highlight w:val="none"/>
        </w:rPr>
        <w:t>潜在参选人应在“</w:t>
      </w:r>
      <w:r>
        <w:rPr>
          <w:rFonts w:hint="eastAsia" w:ascii="宋体" w:hAnsi="宋体" w:eastAsia="宋体" w:cs="宋体"/>
          <w:color w:val="auto"/>
          <w:highlight w:val="none"/>
        </w:rPr>
        <w:t>中国电信电子采购系统</w:t>
      </w:r>
      <w:r>
        <w:rPr>
          <w:rFonts w:hint="eastAsia" w:ascii="宋体" w:hAnsi="宋体" w:eastAsia="宋体" w:cs="宋体"/>
          <w:color w:val="auto"/>
          <w:szCs w:val="21"/>
          <w:highlight w:val="none"/>
        </w:rPr>
        <w:t>”中获取电子比选文件。</w:t>
      </w:r>
    </w:p>
    <w:p>
      <w:pPr>
        <w:pStyle w:val="8"/>
        <w:numPr>
          <w:ilvl w:val="0"/>
          <w:numId w:val="0"/>
        </w:numPr>
        <w:adjustRightInd w:val="0"/>
        <w:snapToGrid w:val="0"/>
        <w:spacing w:line="440" w:lineRule="exact"/>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参选文件的递交</w:t>
      </w:r>
    </w:p>
    <w:p>
      <w:pPr>
        <w:pStyle w:val="8"/>
        <w:numPr>
          <w:ilvl w:val="0"/>
          <w:numId w:val="0"/>
        </w:numPr>
        <w:wordWrap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5.1</w:t>
      </w:r>
      <w:r>
        <w:rPr>
          <w:rFonts w:hint="eastAsia" w:ascii="宋体" w:hAnsi="宋体" w:eastAsia="宋体" w:cs="宋体"/>
          <w:color w:val="auto"/>
          <w:szCs w:val="21"/>
          <w:highlight w:val="none"/>
        </w:rPr>
        <w:t>参选文件</w:t>
      </w:r>
      <w:r>
        <w:rPr>
          <w:rFonts w:hint="eastAsia" w:ascii="宋体" w:hAnsi="宋体" w:eastAsia="宋体" w:cs="宋体"/>
          <w:color w:val="auto"/>
          <w:highlight w:val="none"/>
        </w:rPr>
        <w:t>递交截止时间</w:t>
      </w:r>
      <w:r>
        <w:rPr>
          <w:rFonts w:hint="eastAsia" w:ascii="宋体" w:hAnsi="宋体" w:eastAsia="宋体" w:cs="宋体"/>
          <w:color w:val="auto"/>
          <w:szCs w:val="21"/>
          <w:highlight w:val="none"/>
        </w:rPr>
        <w:t>（即参选截止时间）：</w:t>
      </w:r>
      <w:r>
        <w:rPr>
          <w:rFonts w:hint="eastAsia" w:ascii="宋体" w:hAnsi="宋体" w:eastAsia="宋体" w:cs="宋体"/>
          <w:color w:val="auto"/>
          <w:szCs w:val="21"/>
          <w:highlight w:val="none"/>
          <w:u w:val="none"/>
        </w:rPr>
        <w:t>202</w:t>
      </w: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28</w:t>
      </w:r>
      <w:r>
        <w:rPr>
          <w:rFonts w:hint="eastAsia" w:ascii="宋体" w:hAnsi="宋体" w:eastAsia="宋体" w:cs="宋体"/>
          <w:color w:val="auto"/>
          <w:szCs w:val="21"/>
          <w:highlight w:val="none"/>
          <w:u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p>
      <w:pPr>
        <w:pStyle w:val="8"/>
        <w:numPr>
          <w:ilvl w:val="0"/>
          <w:numId w:val="0"/>
        </w:num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电子参选文件的递交：【登录【中国电信阳光采购网（（https://caigou.chinatelecom.com.cn/ctsc-portal/ctscPortal）】后，通过“招投标-我的项目”模块或通过“电子采购入口”跳转中国电信电子采购系统，选择本项目进行参选文件递交，参选人应在参选文件递交截止时间之前通过电子采购系统完成加密电子参选文件的上传。参选人未在电子采购系统进行比选文件申领登记或电子参选文件未按照要求加密的，将无法通过电子采购系统提交电子参选文件。</w:t>
      </w:r>
    </w:p>
    <w:p>
      <w:pPr>
        <w:pStyle w:val="8"/>
        <w:numPr>
          <w:ilvl w:val="0"/>
          <w:numId w:val="0"/>
        </w:num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5.3</w:t>
      </w:r>
      <w:r>
        <w:rPr>
          <w:rFonts w:hint="eastAsia" w:ascii="宋体" w:hAnsi="宋体" w:eastAsia="宋体" w:cs="宋体"/>
          <w:color w:val="auto"/>
          <w:szCs w:val="21"/>
          <w:highlight w:val="none"/>
        </w:rPr>
        <w:t>本项目将于参选文件递交截止同一时间通过中国电信电子采购系统唱价，</w:t>
      </w:r>
      <w:r>
        <w:rPr>
          <w:rFonts w:hint="eastAsia" w:ascii="宋体" w:hAnsi="宋体" w:eastAsia="宋体" w:cs="宋体"/>
          <w:color w:val="auto"/>
          <w:highlight w:val="none"/>
        </w:rPr>
        <w:t>【</w:t>
      </w:r>
      <w:r>
        <w:rPr>
          <w:rFonts w:hint="eastAsia" w:ascii="宋体" w:hAnsi="宋体" w:eastAsia="宋体" w:cs="宋体"/>
          <w:color w:val="auto"/>
          <w:spacing w:val="2"/>
          <w:szCs w:val="21"/>
          <w:highlight w:val="none"/>
        </w:rPr>
        <w:t>比选人/比选代理机构</w:t>
      </w:r>
      <w:r>
        <w:rPr>
          <w:rFonts w:hint="eastAsia" w:ascii="宋体" w:hAnsi="宋体" w:eastAsia="宋体" w:cs="宋体"/>
          <w:color w:val="auto"/>
          <w:highlight w:val="none"/>
        </w:rPr>
        <w:t>】</w:t>
      </w:r>
      <w:r>
        <w:rPr>
          <w:rFonts w:hint="eastAsia" w:ascii="宋体" w:hAnsi="宋体" w:eastAsia="宋体" w:cs="宋体"/>
          <w:color w:val="auto"/>
          <w:szCs w:val="21"/>
          <w:highlight w:val="none"/>
        </w:rPr>
        <w:t>邀请参选人的法定代表人或者其委托代理人准时参加。</w:t>
      </w:r>
    </w:p>
    <w:p>
      <w:pPr>
        <w:pStyle w:val="8"/>
        <w:numPr>
          <w:ilvl w:val="0"/>
          <w:numId w:val="0"/>
        </w:numPr>
        <w:adjustRightInd w:val="0"/>
        <w:snapToGrid w:val="0"/>
        <w:spacing w:line="440" w:lineRule="exact"/>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样品的递交</w:t>
      </w:r>
    </w:p>
    <w:p>
      <w:pPr>
        <w:pStyle w:val="8"/>
        <w:pageBreakBefore w:val="0"/>
        <w:kinsoku/>
        <w:overflowPunct/>
        <w:bidi w:val="0"/>
        <w:adjustRightInd w:val="0"/>
        <w:snapToGrid w:val="0"/>
        <w:spacing w:line="360" w:lineRule="auto"/>
        <w:ind w:firstLine="424" w:firstLineChars="20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6.1样品递交的时间、地点：不适用</w:t>
      </w:r>
    </w:p>
    <w:p>
      <w:pPr>
        <w:pStyle w:val="8"/>
        <w:pageBreakBefore w:val="0"/>
        <w:kinsoku/>
        <w:overflowPunct/>
        <w:bidi w:val="0"/>
        <w:adjustRightInd w:val="0"/>
        <w:snapToGrid w:val="0"/>
        <w:spacing w:line="360" w:lineRule="auto"/>
        <w:ind w:firstLine="424" w:firstLineChars="20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6.2检测相关费用：不适用</w:t>
      </w:r>
    </w:p>
    <w:p>
      <w:pPr>
        <w:pStyle w:val="8"/>
        <w:numPr>
          <w:ilvl w:val="0"/>
          <w:numId w:val="0"/>
        </w:numPr>
        <w:adjustRightInd w:val="0"/>
        <w:snapToGrid w:val="0"/>
        <w:spacing w:line="440" w:lineRule="exact"/>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参选人注册</w:t>
      </w:r>
    </w:p>
    <w:p>
      <w:pPr>
        <w:pStyle w:val="8"/>
        <w:numPr>
          <w:ilvl w:val="0"/>
          <w:numId w:val="0"/>
        </w:numPr>
        <w:adjustRightInd w:val="0"/>
        <w:snapToGrid w:val="0"/>
        <w:spacing w:line="440" w:lineRule="exact"/>
        <w:ind w:left="425" w:leftChars="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7.1</w:t>
      </w:r>
      <w:r>
        <w:rPr>
          <w:rFonts w:hint="eastAsia" w:ascii="宋体" w:hAnsi="宋体" w:eastAsia="宋体" w:cs="宋体"/>
          <w:color w:val="auto"/>
          <w:highlight w:val="none"/>
        </w:rPr>
        <w:t>【中国电信阳光采购网】注册</w:t>
      </w:r>
      <w:r>
        <w:rPr>
          <w:rFonts w:hint="eastAsia" w:ascii="宋体" w:hAnsi="宋体" w:eastAsia="宋体" w:cs="宋体"/>
          <w:color w:val="auto"/>
          <w:szCs w:val="21"/>
          <w:highlight w:val="none"/>
        </w:rPr>
        <w:t>。</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未注册过的潜在参选人，须通过【中国电信阳光采购网（https://caigou.chinatelecom.com.cn/ctsc-portal/ctscPortal）】首页“立即注册”模块完成注册后，方可申领本项目比选文件。</w:t>
      </w:r>
    </w:p>
    <w:p>
      <w:pPr>
        <w:tabs>
          <w:tab w:val="left" w:pos="993"/>
        </w:tabs>
        <w:wordWrap w:val="0"/>
        <w:adjustRightInd w:val="0"/>
        <w:snapToGrid w:val="0"/>
        <w:spacing w:line="44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7.2 CA证书办理</w:t>
      </w:r>
    </w:p>
    <w:p>
      <w:pPr>
        <w:pStyle w:val="8"/>
        <w:wordWrap w:val="0"/>
        <w:adjustRightInd w:val="0"/>
        <w:snapToGrid w:val="0"/>
        <w:spacing w:line="44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参与电子采购的潜在参选人须提前办理CA证书进行电子参选文件编制和参选，并确保CA证书在使用时有效。CA证书须同时升级采购订单电子签章功能，并加入【公章】或【合同专用章】的样章。【CA证书办理流程详见【中国电信阳光采购网】“操作指引-CA办理”。】</w:t>
      </w:r>
    </w:p>
    <w:p>
      <w:pPr>
        <w:pStyle w:val="8"/>
        <w:tabs>
          <w:tab w:val="left" w:pos="993"/>
        </w:tabs>
        <w:wordWrap w:val="0"/>
        <w:adjustRightInd w:val="0"/>
        <w:snapToGrid w:val="0"/>
        <w:spacing w:line="440" w:lineRule="exact"/>
        <w:ind w:left="426" w:firstLine="0" w:firstLineChars="0"/>
        <w:rPr>
          <w:rFonts w:hint="eastAsia" w:ascii="宋体" w:hAnsi="宋体" w:eastAsia="宋体" w:cs="宋体"/>
          <w:color w:val="auto"/>
          <w:spacing w:val="2"/>
          <w:szCs w:val="21"/>
          <w:highlight w:val="none"/>
        </w:rPr>
      </w:pPr>
      <w:r>
        <w:rPr>
          <w:rFonts w:hint="eastAsia" w:ascii="宋体" w:hAnsi="宋体" w:eastAsia="宋体" w:cs="宋体"/>
          <w:color w:val="auto"/>
          <w:kern w:val="0"/>
          <w:szCs w:val="21"/>
          <w:highlight w:val="none"/>
        </w:rPr>
        <w:t>7.3技术支撑联系方式</w:t>
      </w:r>
    </w:p>
    <w:p>
      <w:pPr>
        <w:pStyle w:val="8"/>
        <w:adjustRightInd w:val="0"/>
        <w:snapToGrid w:val="0"/>
        <w:spacing w:line="440" w:lineRule="exact"/>
        <w:ind w:left="2"/>
        <w:rPr>
          <w:rFonts w:hint="eastAsia" w:ascii="宋体" w:hAnsi="宋体" w:eastAsia="宋体" w:cs="宋体"/>
          <w:color w:val="auto"/>
          <w:spacing w:val="2"/>
          <w:szCs w:val="21"/>
          <w:highlight w:val="none"/>
        </w:rPr>
      </w:pPr>
      <w:r>
        <w:rPr>
          <w:rFonts w:hint="eastAsia" w:ascii="宋体" w:hAnsi="宋体" w:eastAsia="宋体" w:cs="宋体"/>
          <w:color w:val="auto"/>
          <w:kern w:val="0"/>
          <w:szCs w:val="21"/>
          <w:highlight w:val="none"/>
        </w:rPr>
        <w:t>电子采购系统技术支撑：【服务热线4008227188，服务邮箱zb_support@chinatelecom.cn】。</w:t>
      </w:r>
    </w:p>
    <w:p>
      <w:pPr>
        <w:pStyle w:val="8"/>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CA证书办理技术支撑：【服务热线010-82205275/020-83821931/020-83829625，服务邮箱bfdzyzzy.gyl@chinaccs.cn】。</w:t>
      </w:r>
    </w:p>
    <w:p>
      <w:pPr>
        <w:pStyle w:val="8"/>
        <w:numPr>
          <w:ilvl w:val="0"/>
          <w:numId w:val="0"/>
        </w:numPr>
        <w:adjustRightInd w:val="0"/>
        <w:snapToGrid w:val="0"/>
        <w:spacing w:line="440" w:lineRule="exact"/>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发布公告的媒介</w:t>
      </w:r>
    </w:p>
    <w:p>
      <w:pPr>
        <w:pStyle w:val="8"/>
        <w:adjustRightInd w:val="0"/>
        <w:snapToGrid w:val="0"/>
        <w:spacing w:line="44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本比选公告</w:t>
      </w:r>
      <w:r>
        <w:rPr>
          <w:rFonts w:hint="eastAsia" w:ascii="宋体" w:hAnsi="宋体" w:eastAsia="宋体" w:cs="宋体"/>
          <w:color w:val="auto"/>
          <w:highlight w:val="none"/>
        </w:rPr>
        <w:t>仅在中国电信阳光采购网</w:t>
      </w:r>
    </w:p>
    <w:p>
      <w:pPr>
        <w:pStyle w:val="8"/>
        <w:adjustRightInd w:val="0"/>
        <w:snapToGrid w:val="0"/>
        <w:spacing w:line="440" w:lineRule="exact"/>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（https://caigou.chinatelecom.com.cn/ctsc-portal/ctscPortal）</w:t>
      </w:r>
      <w:r>
        <w:rPr>
          <w:rFonts w:hint="eastAsia" w:ascii="宋体" w:hAnsi="宋体" w:eastAsia="宋体" w:cs="宋体"/>
          <w:color w:val="auto"/>
          <w:szCs w:val="21"/>
          <w:highlight w:val="none"/>
        </w:rPr>
        <w:t>上发布，其他媒介转载无效。</w:t>
      </w:r>
    </w:p>
    <w:p>
      <w:pPr>
        <w:pStyle w:val="8"/>
        <w:numPr>
          <w:ilvl w:val="0"/>
          <w:numId w:val="0"/>
        </w:numPr>
        <w:adjustRightInd w:val="0"/>
        <w:snapToGrid w:val="0"/>
        <w:spacing w:line="440" w:lineRule="exact"/>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联系及异议接收方式</w:t>
      </w:r>
    </w:p>
    <w:p>
      <w:pPr>
        <w:pStyle w:val="8"/>
        <w:spacing w:line="400" w:lineRule="exact"/>
        <w:ind w:left="42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9.1联系方式</w:t>
      </w:r>
    </w:p>
    <w:p>
      <w:pPr>
        <w:pStyle w:val="8"/>
        <w:spacing w:line="40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比  选 人：中国电信股份有限公司宁德分公司</w:t>
      </w:r>
    </w:p>
    <w:p>
      <w:pPr>
        <w:pStyle w:val="8"/>
        <w:spacing w:line="40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地    址：宁德市蕉城南路99号</w:t>
      </w:r>
    </w:p>
    <w:p>
      <w:pPr>
        <w:pStyle w:val="8"/>
        <w:spacing w:line="40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ascii="宋体" w:hAnsi="宋体" w:eastAsia="宋体" w:cs="宋体"/>
          <w:color w:val="auto"/>
          <w:highlight w:val="none"/>
          <w:lang w:val="en-US" w:eastAsia="zh-CN"/>
        </w:rPr>
        <w:t>龚</w:t>
      </w:r>
      <w:r>
        <w:rPr>
          <w:rFonts w:hint="eastAsia" w:ascii="宋体" w:hAnsi="宋体" w:eastAsia="宋体" w:cs="宋体"/>
          <w:color w:val="auto"/>
          <w:highlight w:val="none"/>
        </w:rPr>
        <w:t>经理</w:t>
      </w:r>
    </w:p>
    <w:p>
      <w:pPr>
        <w:pStyle w:val="8"/>
        <w:spacing w:line="400" w:lineRule="exact"/>
        <w:ind w:firstLine="424" w:firstLineChars="202"/>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    话：0593-</w:t>
      </w:r>
      <w:r>
        <w:rPr>
          <w:rFonts w:hint="eastAsia" w:ascii="宋体" w:hAnsi="宋体" w:eastAsia="宋体" w:cs="宋体"/>
          <w:color w:val="auto"/>
          <w:highlight w:val="none"/>
          <w:lang w:val="en-US" w:eastAsia="zh-CN"/>
        </w:rPr>
        <w:t>2961905</w:t>
      </w:r>
    </w:p>
    <w:p>
      <w:pPr>
        <w:pStyle w:val="8"/>
        <w:spacing w:line="400" w:lineRule="exact"/>
        <w:ind w:firstLine="424" w:firstLineChars="202"/>
        <w:rPr>
          <w:rFonts w:hint="eastAsia" w:ascii="宋体" w:hAnsi="宋体" w:eastAsia="宋体" w:cs="宋体"/>
          <w:color w:val="auto"/>
          <w:highlight w:val="none"/>
        </w:rPr>
      </w:pPr>
    </w:p>
    <w:p>
      <w:pPr>
        <w:pStyle w:val="8"/>
        <w:spacing w:line="40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比选代理机构：福建省中通通信物流有限公司</w:t>
      </w:r>
    </w:p>
    <w:p>
      <w:pPr>
        <w:pStyle w:val="8"/>
        <w:spacing w:line="40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地    址：福州市仓山区信平路10号</w:t>
      </w:r>
    </w:p>
    <w:p>
      <w:pPr>
        <w:pStyle w:val="8"/>
        <w:spacing w:line="40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邮    编：350007</w:t>
      </w:r>
    </w:p>
    <w:p>
      <w:pPr>
        <w:pStyle w:val="8"/>
        <w:spacing w:line="40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项目负责人</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：庄灿扬      </w:t>
      </w:r>
    </w:p>
    <w:p>
      <w:pPr>
        <w:pStyle w:val="8"/>
        <w:spacing w:line="40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电      话：15392275666</w:t>
      </w:r>
    </w:p>
    <w:p>
      <w:pPr>
        <w:pStyle w:val="8"/>
        <w:spacing w:line="400" w:lineRule="exact"/>
        <w:ind w:firstLine="424" w:firstLineChars="202"/>
        <w:rPr>
          <w:rFonts w:hint="eastAsia" w:ascii="宋体" w:hAnsi="宋体" w:eastAsia="宋体" w:cs="宋体"/>
          <w:color w:val="auto"/>
          <w:highlight w:val="none"/>
          <w:u w:val="none"/>
        </w:rPr>
      </w:pPr>
      <w:r>
        <w:rPr>
          <w:rFonts w:hint="eastAsia" w:ascii="宋体" w:hAnsi="宋体" w:eastAsia="宋体" w:cs="宋体"/>
          <w:color w:val="auto"/>
          <w:highlight w:val="none"/>
        </w:rPr>
        <w:t>电 子 邮箱：</w:t>
      </w: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 HYPERLINK "mailto:zhuangcanyang@chinaccs.cn" </w:instrText>
      </w:r>
      <w:r>
        <w:rPr>
          <w:rFonts w:hint="eastAsia" w:ascii="宋体" w:hAnsi="宋体" w:eastAsia="宋体" w:cs="宋体"/>
          <w:color w:val="auto"/>
          <w:highlight w:val="none"/>
          <w:u w:val="none"/>
        </w:rPr>
        <w:fldChar w:fldCharType="separate"/>
      </w:r>
      <w:r>
        <w:rPr>
          <w:rStyle w:val="6"/>
          <w:rFonts w:hint="eastAsia" w:ascii="宋体" w:hAnsi="宋体" w:eastAsia="宋体" w:cs="宋体"/>
          <w:color w:val="auto"/>
          <w:highlight w:val="none"/>
          <w:u w:val="none"/>
        </w:rPr>
        <w:t>zhuangcanyang@chinaccs.cn</w:t>
      </w:r>
      <w:r>
        <w:rPr>
          <w:rFonts w:hint="eastAsia" w:ascii="宋体" w:hAnsi="宋体" w:eastAsia="宋体" w:cs="宋体"/>
          <w:color w:val="auto"/>
          <w:highlight w:val="none"/>
          <w:u w:val="none"/>
        </w:rPr>
        <w:fldChar w:fldCharType="end"/>
      </w:r>
    </w:p>
    <w:p>
      <w:pPr>
        <w:pStyle w:val="8"/>
        <w:spacing w:line="400" w:lineRule="exact"/>
        <w:ind w:firstLine="424" w:firstLineChars="202"/>
        <w:rPr>
          <w:rFonts w:hint="eastAsia" w:ascii="宋体" w:hAnsi="宋体" w:eastAsia="宋体" w:cs="宋体"/>
          <w:color w:val="auto"/>
          <w:highlight w:val="none"/>
        </w:rPr>
      </w:pPr>
    </w:p>
    <w:p>
      <w:pPr>
        <w:pStyle w:val="8"/>
        <w:spacing w:line="400" w:lineRule="exact"/>
        <w:ind w:firstLine="424" w:firstLineChars="202"/>
        <w:rPr>
          <w:rFonts w:hint="eastAsia" w:ascii="宋体" w:hAnsi="宋体" w:eastAsia="宋体" w:cs="宋体"/>
          <w:szCs w:val="21"/>
        </w:rPr>
      </w:pPr>
      <w:r>
        <w:rPr>
          <w:rFonts w:hint="eastAsia" w:ascii="宋体" w:hAnsi="宋体" w:eastAsia="宋体" w:cs="宋体"/>
          <w:color w:val="auto"/>
          <w:highlight w:val="none"/>
        </w:rPr>
        <w:t>项目负责人</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szCs w:val="21"/>
        </w:rPr>
        <w:t xml:space="preserve">张力殳  </w:t>
      </w:r>
    </w:p>
    <w:p>
      <w:pPr>
        <w:pStyle w:val="8"/>
        <w:spacing w:line="400" w:lineRule="exact"/>
        <w:ind w:firstLine="424" w:firstLineChars="202"/>
        <w:rPr>
          <w:rFonts w:hint="eastAsia" w:ascii="宋体" w:hAnsi="宋体" w:eastAsia="宋体" w:cs="宋体"/>
          <w:szCs w:val="21"/>
        </w:rPr>
      </w:pPr>
      <w:r>
        <w:rPr>
          <w:rFonts w:hint="eastAsia" w:ascii="宋体" w:hAnsi="宋体" w:eastAsia="宋体" w:cs="宋体"/>
          <w:color w:val="auto"/>
          <w:highlight w:val="none"/>
        </w:rPr>
        <w:t>电      话</w:t>
      </w:r>
      <w:r>
        <w:rPr>
          <w:rFonts w:hint="eastAsia" w:ascii="宋体" w:hAnsi="宋体" w:eastAsia="宋体" w:cs="宋体"/>
          <w:szCs w:val="21"/>
        </w:rPr>
        <w:t>：13305002133</w:t>
      </w:r>
    </w:p>
    <w:p>
      <w:pPr>
        <w:pStyle w:val="8"/>
        <w:spacing w:line="400" w:lineRule="exact"/>
        <w:ind w:firstLine="424" w:firstLineChars="202"/>
        <w:rPr>
          <w:rFonts w:hint="eastAsia" w:ascii="宋体" w:hAnsi="宋体" w:eastAsia="宋体" w:cs="宋体"/>
          <w:szCs w:val="21"/>
        </w:rPr>
      </w:pPr>
    </w:p>
    <w:p>
      <w:pPr>
        <w:pStyle w:val="8"/>
        <w:spacing w:line="40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9.2异议接收方</w:t>
      </w:r>
    </w:p>
    <w:p>
      <w:pPr>
        <w:pStyle w:val="8"/>
        <w:spacing w:line="40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【登录【中国电信阳光采购网</w:t>
      </w:r>
    </w:p>
    <w:p>
      <w:pPr>
        <w:pStyle w:val="8"/>
        <w:spacing w:line="40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（https://caigou.chinatelecom.com.cn/ctsc-portal/ctscPortal）】后，通过“招投标-采购异议-提出异议”模块提出。</w:t>
      </w:r>
    </w:p>
    <w:p>
      <w:pPr>
        <w:pStyle w:val="8"/>
        <w:pageBreakBefore w:val="0"/>
        <w:kinsoku/>
        <w:overflowPunct/>
        <w:bidi w:val="0"/>
        <w:spacing w:line="360" w:lineRule="auto"/>
        <w:ind w:left="424" w:leftChars="202" w:firstLine="1890" w:firstLineChars="900"/>
        <w:rPr>
          <w:rFonts w:hint="eastAsia" w:ascii="宋体" w:hAnsi="宋体" w:eastAsia="宋体" w:cs="宋体"/>
          <w:color w:val="auto"/>
          <w:highlight w:val="none"/>
        </w:rPr>
      </w:pPr>
      <w:r>
        <w:rPr>
          <w:rFonts w:hint="eastAsia" w:ascii="宋体" w:hAnsi="宋体" w:eastAsia="宋体" w:cs="宋体"/>
          <w:color w:val="auto"/>
          <w:highlight w:val="none"/>
        </w:rPr>
        <w:t>比选代理机构：福建省中通通信物流有限公司</w:t>
      </w:r>
    </w:p>
    <w:p>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u w:val="none"/>
        </w:rPr>
        <w:t>202</w:t>
      </w:r>
      <w:r>
        <w:rPr>
          <w:rFonts w:hint="eastAsia" w:ascii="宋体" w:hAnsi="宋体" w:eastAsia="宋体" w:cs="宋体"/>
          <w:color w:val="auto"/>
          <w:szCs w:val="21"/>
          <w:highlight w:val="none"/>
          <w:u w:val="none"/>
          <w:lang w:val="en-US" w:eastAsia="zh-CN"/>
        </w:rPr>
        <w:t>3</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20</w:t>
      </w:r>
      <w:r>
        <w:rPr>
          <w:rFonts w:hint="eastAsia" w:ascii="宋体" w:hAnsi="宋体" w:eastAsia="宋体" w:cs="宋体"/>
          <w:color w:val="auto"/>
          <w:szCs w:val="21"/>
          <w:highlight w:val="none"/>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M2EwMzcwYmM1ZjUyN2VkODZjMzY5MGYzYTQzNWIifQ=="/>
  </w:docVars>
  <w:rsids>
    <w:rsidRoot w:val="00000000"/>
    <w:rsid w:val="3D5B2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character" w:styleId="6">
    <w:name w:val="Hyperlink"/>
    <w:qFormat/>
    <w:uiPriority w:val="99"/>
    <w:rPr>
      <w:color w:val="0000FF"/>
      <w:u w:val="single"/>
    </w:rPr>
  </w:style>
  <w:style w:type="paragraph" w:customStyle="1" w:styleId="7">
    <w:name w:val="bt1bt1"/>
    <w:basedOn w:val="3"/>
    <w:qFormat/>
    <w:uiPriority w:val="0"/>
    <w:pPr>
      <w:spacing w:line="240" w:lineRule="auto"/>
      <w:jc w:val="center"/>
    </w:pPr>
    <w:rPr>
      <w:rFonts w:ascii="黑体" w:eastAsia="黑体"/>
      <w:b w:val="0"/>
      <w:sz w:val="36"/>
      <w:szCs w:val="36"/>
    </w:rPr>
  </w:style>
  <w:style w:type="paragraph" w:styleId="8">
    <w:name w:val="List Paragraph"/>
    <w:basedOn w:val="1"/>
    <w:unhideWhenUsed/>
    <w:qFormat/>
    <w:uiPriority w:val="34"/>
    <w:pPr>
      <w:ind w:firstLine="420" w:firstLineChars="200"/>
    </w:pPr>
  </w:style>
  <w:style w:type="paragraph" w:customStyle="1" w:styleId="9">
    <w:name w:val="正文00"/>
    <w:basedOn w:val="1"/>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2023-03-20T06:15:48Z</dcterms:created>
  <dc:creator>15392</dc:creator>
  <cp:lastModifiedBy>zhuangcy</cp:lastModifiedBy>
  <dcterms:modified xsi:type="dcterms:W3CDTF">2023-03-20T06:16:43Z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5BEF424C650648D4AAE666EAEAB64504</vt:lpwstr>
  </property>
</Properties>
</file>